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comments.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21"/>
          <w:szCs w:val="21"/>
        </w:rPr>
      </w:pPr>
      <w:r>
        <w:rPr>
          <w:rFonts w:cs="Arial" w:ascii="Arial" w:hAnsi="Arial"/>
          <w:color w:val="5B5B5F"/>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sz w:val="32"/>
          <w:szCs w:val="32"/>
        </w:rPr>
      </w:pPr>
      <w:commentRangeStart w:id="0"/>
      <w:r>
        <w:rPr>
          <w:rFonts w:cs="Arial" w:ascii="Arial" w:hAnsi="Arial"/>
          <w:color w:val="405CA1"/>
          <w:sz w:val="32"/>
          <w:szCs w:val="32"/>
        </w:rPr>
        <w:t>PREGÃO</w:t>
      </w:r>
    </w:p>
    <w:p>
      <w:pPr>
        <w:pStyle w:val="Normal"/>
        <w:rPr>
          <w:sz w:val="32"/>
          <w:szCs w:val="32"/>
        </w:rPr>
      </w:pPr>
      <w:r>
        <w:rPr>
          <w:rFonts w:cs="Arial" w:ascii="Arial" w:hAnsi="Arial"/>
          <w:color w:val="405CA1"/>
          <w:sz w:val="32"/>
          <w:szCs w:val="32"/>
        </w:rPr>
        <w:t>ELETRÔNICO</w:t>
      </w:r>
      <w:commentRangeEnd w:id="0"/>
      <w:r>
        <w:commentReference w:id="0"/>
      </w:r>
      <w:r>
        <w:rPr>
          <w:rFonts w:cs="Arial" w:ascii="Arial" w:hAnsi="Arial"/>
          <w:color w:val="405CA1"/>
          <w:sz w:val="32"/>
          <w:szCs w:val="32"/>
        </w:rPr>
      </w:r>
    </w:p>
    <w:p>
      <w:pPr>
        <w:pStyle w:val="Normal"/>
        <w:rPr>
          <w:sz w:val="32"/>
          <w:szCs w:val="32"/>
        </w:rPr>
      </w:pPr>
      <w:r>
        <w:rPr>
          <w:rFonts w:cs="Arial" w:ascii="Arial" w:hAnsi="Arial"/>
          <w:color w:val="405CA1"/>
          <w:sz w:val="32"/>
          <w:szCs w:val="32"/>
        </w:rPr>
        <w:t>N.° 093/2024 - SERMALI</w:t>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CONTRATANTE (UASG)</w:t>
      </w:r>
    </w:p>
    <w:p>
      <w:pPr>
        <w:pStyle w:val="Normal"/>
        <w:rPr>
          <w:rFonts w:ascii="Arial" w:hAnsi="Arial" w:cs="Arial"/>
          <w:bCs/>
          <w:color w:val="5B5B5F"/>
          <w:sz w:val="21"/>
          <w:szCs w:val="21"/>
        </w:rPr>
      </w:pPr>
      <w:r>
        <w:rPr>
          <w:rFonts w:cs="Arial" w:ascii="Arial" w:hAnsi="Arial"/>
          <w:bCs/>
          <w:color w:val="5B5B5F"/>
          <w:sz w:val="21"/>
          <w:szCs w:val="21"/>
        </w:rPr>
      </w:r>
    </w:p>
    <w:p>
      <w:pPr>
        <w:pStyle w:val="Normal"/>
        <w:jc w:val="both"/>
        <w:rPr>
          <w:rFonts w:ascii="Arial" w:hAnsi="Arial" w:cs="Arial"/>
          <w:bCs/>
          <w:color w:val="000000"/>
          <w:sz w:val="21"/>
          <w:szCs w:val="21"/>
        </w:rPr>
      </w:pPr>
      <w:r>
        <w:rPr>
          <w:rFonts w:cs="Arial" w:ascii="Arial" w:hAnsi="Arial"/>
          <w:bCs/>
          <w:color w:val="000000"/>
          <w:sz w:val="21"/>
          <w:szCs w:val="21"/>
        </w:rPr>
        <w:t>Prefeitura Municipal de São José dos Pinhais – UASG N.° 987885</w:t>
      </w:r>
    </w:p>
    <w:p>
      <w:pPr>
        <w:pStyle w:val="Normal"/>
        <w:jc w:val="both"/>
        <w:rPr>
          <w:rFonts w:ascii="Arial" w:hAnsi="Arial" w:cs="Arial"/>
          <w:bCs/>
          <w:color w:val="000000"/>
          <w:sz w:val="21"/>
          <w:szCs w:val="21"/>
        </w:rPr>
      </w:pPr>
      <w:r>
        <w:rPr>
          <w:rFonts w:cs="Arial" w:ascii="Arial" w:hAnsi="Arial"/>
          <w:bCs/>
          <w:color w:val="000000"/>
          <w:sz w:val="21"/>
          <w:szCs w:val="21"/>
        </w:rPr>
        <w:t>Pregoeiro Ricardo Hochheim e equipe de apoio, designados mediante Decreto Municipal n.° 5.607, de 28 de setembro de 2023.</w:t>
      </w:r>
    </w:p>
    <w:p>
      <w:pPr>
        <w:pStyle w:val="Normal"/>
        <w:rPr>
          <w:rFonts w:ascii="Arial" w:hAnsi="Arial" w:cs="Arial"/>
          <w:bCs/>
          <w:color w:val="5B5B5F"/>
          <w:sz w:val="21"/>
          <w:szCs w:val="21"/>
        </w:rPr>
      </w:pPr>
      <w:r>
        <w:rPr>
          <w:rFonts w:cs="Arial" w:ascii="Arial" w:hAnsi="Arial"/>
          <w:bCs/>
          <w:color w:val="5B5B5F"/>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OBJETO</w:t>
      </w:r>
    </w:p>
    <w:p>
      <w:pPr>
        <w:pStyle w:val="Normal"/>
        <w:jc w:val="both"/>
        <w:rPr>
          <w:rFonts w:ascii="Arial" w:hAnsi="Arial" w:cs="Arial"/>
          <w:color w:val="595959"/>
          <w:sz w:val="21"/>
          <w:szCs w:val="21"/>
          <w:shd w:fill="00FFFF" w:val="clear"/>
        </w:rPr>
      </w:pPr>
      <w:r>
        <w:rPr>
          <w:rFonts w:cs="Arial" w:ascii="Arial" w:hAnsi="Arial"/>
          <w:color w:val="595959"/>
          <w:sz w:val="21"/>
          <w:szCs w:val="21"/>
          <w:shd w:fill="00FFFF" w:val="clear"/>
        </w:rPr>
      </w:r>
    </w:p>
    <w:p>
      <w:pPr>
        <w:pStyle w:val="Normal"/>
        <w:jc w:val="both"/>
        <w:rPr/>
      </w:pPr>
      <w:r>
        <w:rPr>
          <w:rFonts w:cs="Arial" w:ascii="Arial" w:hAnsi="Arial"/>
          <w:bCs/>
          <w:color w:val="000000"/>
          <w:sz w:val="21"/>
          <w:szCs w:val="21"/>
        </w:rPr>
        <w:t>Registro de Preço para o fornecimento de equipamentos e serviços para implantação de dispositivos de segurança aos transeuntes em via pública e demais pontos que necessitem de advertência complementar nas vias públicas do Município de São José dos Pinhais, atendendo as boas práticas e normas de engen</w:t>
      </w:r>
      <w:r>
        <w:rPr>
          <w:rFonts w:cs="Arial" w:ascii="Arial" w:hAnsi="Arial"/>
          <w:bCs/>
          <w:strike w:val="false"/>
          <w:dstrike w:val="false"/>
          <w:color w:val="000000"/>
          <w:sz w:val="21"/>
          <w:szCs w:val="21"/>
        </w:rPr>
        <w:t xml:space="preserve">haria vigentes, conforme condições, quantidades e exigências estabelecidas no Edital e seus anexos. </w:t>
      </w:r>
    </w:p>
    <w:p>
      <w:pPr>
        <w:pStyle w:val="Normal"/>
        <w:jc w:val="both"/>
        <w:rPr>
          <w:rFonts w:ascii="Arial" w:hAnsi="Arial" w:cs="Arial"/>
          <w:color w:val="595959"/>
          <w:sz w:val="21"/>
          <w:szCs w:val="21"/>
          <w:shd w:fill="00FFFF" w:val="clear"/>
        </w:rPr>
      </w:pPr>
      <w:r>
        <w:rPr>
          <w:rFonts w:cs="Arial" w:ascii="Arial" w:hAnsi="Arial"/>
          <w:color w:val="595959"/>
          <w:sz w:val="21"/>
          <w:szCs w:val="21"/>
          <w:shd w:fill="00FFFF" w:val="clear"/>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VALOR TOTAL DA CONTRATAÇÃO</w:t>
      </w:r>
    </w:p>
    <w:p>
      <w:pPr>
        <w:pStyle w:val="Normal"/>
        <w:rPr>
          <w:rFonts w:ascii="Arial" w:hAnsi="Arial" w:cs="Arial"/>
          <w:bCs/>
          <w:color w:val="5B5B5F"/>
          <w:sz w:val="21"/>
          <w:szCs w:val="21"/>
        </w:rPr>
      </w:pPr>
      <w:r>
        <w:rPr>
          <w:rFonts w:cs="Arial" w:ascii="Arial" w:hAnsi="Arial"/>
          <w:bCs/>
          <w:color w:val="5B5B5F"/>
          <w:sz w:val="21"/>
          <w:szCs w:val="21"/>
        </w:rPr>
      </w:r>
    </w:p>
    <w:p>
      <w:pPr>
        <w:pStyle w:val="Normal"/>
        <w:rPr>
          <w:rFonts w:ascii="Arial" w:hAnsi="Arial" w:cs="Arial"/>
          <w:bCs/>
          <w:color w:val="000000"/>
          <w:sz w:val="21"/>
          <w:szCs w:val="21"/>
        </w:rPr>
      </w:pPr>
      <w:r>
        <w:rPr>
          <w:rFonts w:cs="Arial" w:ascii="Arial" w:hAnsi="Arial"/>
          <w:bCs/>
          <w:color w:val="000000"/>
          <w:sz w:val="21"/>
          <w:szCs w:val="21"/>
        </w:rPr>
        <w:t>R$ 1.487.107,52.</w:t>
      </w:r>
    </w:p>
    <w:p>
      <w:pPr>
        <w:pStyle w:val="Normal"/>
        <w:rPr>
          <w:rFonts w:ascii="Arial" w:hAnsi="Arial" w:cs="Arial"/>
          <w:color w:val="5B5B5F"/>
          <w:sz w:val="21"/>
          <w:szCs w:val="21"/>
        </w:rPr>
      </w:pPr>
      <w:r>
        <w:rPr>
          <w:rFonts w:cs="Arial" w:ascii="Arial" w:hAnsi="Arial"/>
          <w:color w:val="5B5B5F"/>
          <w:sz w:val="21"/>
          <w:szCs w:val="21"/>
        </w:rPr>
      </w:r>
    </w:p>
    <w:p>
      <w:pPr>
        <w:pStyle w:val="Normal"/>
        <w:spacing w:lineRule="auto" w:line="259"/>
        <w:rPr/>
      </w:pPr>
      <w:commentRangeStart w:id="1"/>
      <w:r>
        <w:rPr>
          <w:rFonts w:cs="Arial" w:ascii="Arial" w:hAnsi="Arial"/>
          <w:b/>
          <w:bCs/>
          <w:color w:val="405CA1"/>
          <w:sz w:val="21"/>
          <w:szCs w:val="21"/>
        </w:rPr>
        <w:t>DATA DA SESSÃO PÚBLICA</w:t>
      </w:r>
    </w:p>
    <w:p>
      <w:pPr>
        <w:pStyle w:val="Normal"/>
        <w:rPr/>
      </w:pPr>
      <w:r>
        <w:rPr>
          <w:rFonts w:cs="Arial" w:ascii="Arial" w:hAnsi="Arial"/>
          <w:color w:val="5B5B5F"/>
          <w:sz w:val="21"/>
          <w:szCs w:val="21"/>
        </w:rPr>
        <w:t>Dia</w:t>
      </w:r>
      <w:r>
        <w:rPr>
          <w:rFonts w:cs="Arial" w:ascii="Arial" w:hAnsi="Arial"/>
          <w:b/>
          <w:bCs/>
          <w:color w:val="5B5B5F"/>
          <w:sz w:val="21"/>
          <w:szCs w:val="21"/>
        </w:rPr>
        <w:t xml:space="preserve"> 25/09/2024, </w:t>
      </w:r>
      <w:r>
        <w:rPr>
          <w:rFonts w:cs="Arial" w:ascii="Arial" w:hAnsi="Arial"/>
          <w:color w:val="5B5B5F"/>
          <w:sz w:val="21"/>
          <w:szCs w:val="21"/>
        </w:rPr>
        <w:t xml:space="preserve">às </w:t>
      </w:r>
      <w:r>
        <w:rPr>
          <w:rFonts w:cs="Arial" w:ascii="Arial" w:hAnsi="Arial"/>
          <w:b/>
          <w:bCs/>
          <w:color w:val="5B5B5F"/>
          <w:sz w:val="21"/>
          <w:szCs w:val="21"/>
        </w:rPr>
        <w:t>09h</w:t>
      </w:r>
      <w:r>
        <w:rPr>
          <w:rFonts w:cs="Arial" w:ascii="Arial" w:hAnsi="Arial"/>
          <w:b/>
          <w:bCs/>
          <w:color w:val="5B5B5F"/>
          <w:sz w:val="21"/>
          <w:szCs w:val="21"/>
        </w:rPr>
      </w:r>
      <w:commentRangeEnd w:id="1"/>
      <w:r>
        <w:commentReference w:id="1"/>
      </w:r>
      <w:r>
        <w:rPr>
          <w:rFonts w:cs="Arial" w:ascii="Arial" w:hAnsi="Arial"/>
          <w:b/>
          <w:bCs/>
          <w:color w:val="5B5B5F"/>
          <w:sz w:val="21"/>
          <w:szCs w:val="21"/>
        </w:rPr>
        <w:t xml:space="preserve"> (horário de Brasília)</w:t>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spacing w:lineRule="auto" w:line="259"/>
        <w:rPr>
          <w:i w:val="false"/>
          <w:i w:val="false"/>
          <w:iCs w:val="false"/>
        </w:rPr>
      </w:pPr>
      <w:r>
        <w:rPr>
          <w:rFonts w:cs="Arial" w:ascii="Arial" w:hAnsi="Arial"/>
          <w:b/>
          <w:bCs/>
          <w:i w:val="false"/>
          <w:iCs w:val="false"/>
          <w:color w:val="405CA1"/>
          <w:sz w:val="21"/>
          <w:szCs w:val="21"/>
        </w:rPr>
        <w:t>CRITÉRIO DE JULGAMENTO:</w:t>
      </w:r>
    </w:p>
    <w:p>
      <w:pPr>
        <w:pStyle w:val="Normal"/>
        <w:jc w:val="both"/>
        <w:rPr>
          <w:i w:val="false"/>
          <w:i w:val="false"/>
          <w:iCs w:val="false"/>
          <w:color w:val="000000"/>
        </w:rPr>
      </w:pPr>
      <w:r>
        <w:rPr>
          <w:rFonts w:cs="Arial" w:ascii="Arial" w:hAnsi="Arial"/>
          <w:i w:val="false"/>
          <w:iCs w:val="false"/>
          <w:color w:val="000000"/>
          <w:sz w:val="21"/>
          <w:szCs w:val="21"/>
        </w:rPr>
        <w:t>Menor preço por lote</w:t>
      </w:r>
    </w:p>
    <w:p>
      <w:pPr>
        <w:pStyle w:val="Normal"/>
        <w:jc w:val="both"/>
        <w:rPr>
          <w:rFonts w:ascii="Arial" w:hAnsi="Arial" w:cs="Arial"/>
          <w:b/>
          <w:b/>
          <w:bCs/>
          <w:i w:val="false"/>
          <w:i w:val="false"/>
          <w:iCs w:val="false"/>
          <w:color w:val="FF0000"/>
          <w:sz w:val="21"/>
          <w:szCs w:val="21"/>
          <w:u w:val="single"/>
        </w:rPr>
      </w:pPr>
      <w:r>
        <w:rPr>
          <w:rFonts w:cs="Arial" w:ascii="Arial" w:hAnsi="Arial"/>
          <w:b/>
          <w:bCs/>
          <w:i w:val="false"/>
          <w:iCs w:val="false"/>
          <w:color w:val="FF0000"/>
          <w:sz w:val="21"/>
          <w:szCs w:val="21"/>
          <w:u w:val="single"/>
        </w:rPr>
      </w:r>
    </w:p>
    <w:p>
      <w:pPr>
        <w:pStyle w:val="Normal"/>
        <w:jc w:val="both"/>
        <w:rPr>
          <w:i w:val="false"/>
          <w:i w:val="false"/>
          <w:iCs w:val="false"/>
        </w:rPr>
      </w:pPr>
      <w:r>
        <w:rPr>
          <w:rFonts w:cs="Arial" w:ascii="Arial" w:hAnsi="Arial"/>
          <w:b/>
          <w:bCs/>
          <w:i w:val="false"/>
          <w:iCs w:val="false"/>
          <w:caps/>
          <w:color w:val="405CA1"/>
          <w:sz w:val="21"/>
          <w:szCs w:val="21"/>
        </w:rPr>
        <w:t>Modo de disputa:</w:t>
      </w:r>
    </w:p>
    <w:p>
      <w:pPr>
        <w:pStyle w:val="Normal"/>
        <w:jc w:val="both"/>
        <w:rPr>
          <w:i w:val="false"/>
          <w:i w:val="false"/>
          <w:iCs w:val="false"/>
          <w:color w:val="000000"/>
        </w:rPr>
      </w:pPr>
      <w:r>
        <w:rPr>
          <w:rFonts w:cs="Arial" w:ascii="Arial" w:hAnsi="Arial"/>
          <w:i w:val="false"/>
          <w:iCs w:val="false"/>
          <w:color w:val="000000"/>
          <w:sz w:val="21"/>
          <w:szCs w:val="21"/>
        </w:rPr>
        <w:t>Aberto</w:t>
      </w:r>
    </w:p>
    <w:p>
      <w:pPr>
        <w:pStyle w:val="Normal"/>
        <w:jc w:val="both"/>
        <w:rPr>
          <w:rFonts w:ascii="Arial" w:hAnsi="Arial" w:cs="Arial"/>
          <w:b/>
          <w:b/>
          <w:bCs/>
          <w:iCs/>
          <w:color w:val="000000"/>
          <w:sz w:val="21"/>
          <w:szCs w:val="21"/>
        </w:rPr>
      </w:pPr>
      <w:r>
        <w:rPr>
          <w:rFonts w:cs="Arial" w:ascii="Arial" w:hAnsi="Arial"/>
          <w:b/>
          <w:bCs/>
          <w:iCs/>
          <w:color w:val="000000"/>
          <w:sz w:val="21"/>
          <w:szCs w:val="21"/>
        </w:rPr>
      </w:r>
    </w:p>
    <w:p>
      <w:pPr>
        <w:pStyle w:val="Normal"/>
        <w:rPr>
          <w:rFonts w:ascii="Arial" w:hAnsi="Arial" w:cs="Arial"/>
          <w:b/>
          <w:b/>
          <w:bCs/>
          <w:color w:val="405CA1"/>
          <w:sz w:val="21"/>
          <w:szCs w:val="21"/>
        </w:rPr>
      </w:pPr>
      <w:r>
        <w:rPr>
          <w:rFonts w:cs="Arial" w:ascii="Arial" w:hAnsi="Arial"/>
          <w:b/>
          <w:bCs/>
          <w:color w:val="405CA1"/>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color w:val="000000"/>
          <w:sz w:val="21"/>
          <w:szCs w:val="21"/>
        </w:rPr>
      </w:pPr>
      <w:r>
        <w:rPr>
          <w:rFonts w:cs="Arial" w:ascii="Arial" w:hAnsi="Arial"/>
          <w:b/>
          <w:color w:val="000000"/>
          <w:sz w:val="21"/>
          <w:szCs w:val="21"/>
        </w:rPr>
      </w:r>
      <w:bookmarkStart w:id="0" w:name="_Hlk82473550"/>
      <w:bookmarkStart w:id="1" w:name="_Hlk82473550"/>
      <w:bookmarkEnd w:id="1"/>
      <w:r>
        <w:br w:type="page"/>
      </w:r>
    </w:p>
    <w:p>
      <w:pPr>
        <w:pStyle w:val="Normal"/>
        <w:spacing w:lineRule="auto" w:line="312" w:before="288" w:after="288"/>
        <w:ind w:firstLine="567"/>
        <w:jc w:val="center"/>
        <w:rPr/>
      </w:pPr>
      <w:r>
        <w:rPr>
          <w:rFonts w:cs="Arial" w:ascii="Arial" w:hAnsi="Arial"/>
          <w:b/>
          <w:color w:val="000000"/>
          <w:sz w:val="21"/>
          <w:szCs w:val="21"/>
        </w:rPr>
        <w:t>PREGÃO ELETRÔNICO Nº 093/2</w:t>
      </w:r>
      <w:r>
        <w:rPr>
          <w:rFonts w:cs="Arial" w:ascii="Arial" w:hAnsi="Arial"/>
          <w:b/>
          <w:color w:val="000000"/>
          <w:sz w:val="21"/>
          <w:szCs w:val="21"/>
          <w:shd w:fill="FFFFFF" w:val="clear"/>
        </w:rPr>
        <w:t>024</w:t>
      </w:r>
    </w:p>
    <w:p>
      <w:pPr>
        <w:pStyle w:val="Nivel2"/>
        <w:tabs>
          <w:tab w:val="clear" w:pos="0"/>
        </w:tabs>
        <w:ind w:left="0" w:hanging="0"/>
        <w:rPr/>
      </w:pPr>
      <w:r>
        <w:rPr>
          <w:sz w:val="21"/>
          <w:szCs w:val="21"/>
        </w:rPr>
        <w:t>O Município de São José dos Pinhais, Estado do Paraná, através da Secretaria Municipal de Recursos Materia</w:t>
      </w:r>
      <w:r>
        <w:rPr>
          <w:color w:val="000000"/>
          <w:sz w:val="21"/>
          <w:szCs w:val="21"/>
        </w:rPr>
        <w:t xml:space="preserve">is e Licitações, no uso de suas atribuições legais, leva ao conhecimento dos interessados que realizará licitação, para </w:t>
      </w:r>
      <w:r>
        <w:rPr>
          <w:b/>
          <w:color w:val="000000"/>
          <w:sz w:val="21"/>
          <w:szCs w:val="21"/>
        </w:rPr>
        <w:t>REGISTRO DE PREÇOS,</w:t>
      </w:r>
      <w:r>
        <w:rPr>
          <w:color w:val="000000"/>
          <w:sz w:val="21"/>
          <w:szCs w:val="21"/>
        </w:rPr>
        <w:t xml:space="preserve"> na modalidade PREGÃO, na forma ELETRÔNICA, nos termos da </w:t>
      </w:r>
      <w:hyperlink r:id="rId2">
        <w:r>
          <w:rPr>
            <w:rStyle w:val="LinkdaInternet"/>
            <w:color w:val="000000"/>
            <w:sz w:val="21"/>
            <w:szCs w:val="21"/>
          </w:rPr>
          <w:t>Lei nº 14.133, de 1º de abril de 2021</w:t>
        </w:r>
      </w:hyperlink>
      <w:r>
        <w:rPr>
          <w:color w:val="000000"/>
          <w:sz w:val="21"/>
          <w:szCs w:val="21"/>
        </w:rPr>
        <w:t xml:space="preserve">, </w:t>
      </w:r>
      <w:r>
        <w:rPr>
          <w:rStyle w:val="LinkdaInternet"/>
          <w:color w:val="000000"/>
          <w:sz w:val="21"/>
          <w:szCs w:val="21"/>
        </w:rPr>
        <w:t>Decreto Municipal n.° 5.807, de 29 de dezembro de 2023</w:t>
      </w:r>
      <w:r>
        <w:rPr>
          <w:color w:val="000000"/>
          <w:sz w:val="21"/>
          <w:szCs w:val="21"/>
        </w:rPr>
        <w:t>, e demais legislação aplicável e, ainda, de acordo com as condições estabelecidas neste Edital</w:t>
      </w:r>
      <w:r>
        <w:rPr>
          <w:rFonts w:eastAsia="Times New Roman"/>
          <w:color w:val="000000"/>
          <w:sz w:val="21"/>
          <w:szCs w:val="21"/>
        </w:rPr>
        <w:t>.</w:t>
      </w:r>
    </w:p>
    <w:p>
      <w:pPr>
        <w:pStyle w:val="Normal"/>
        <w:jc w:val="both"/>
        <w:rPr>
          <w:rFonts w:ascii="Arial" w:hAnsi="Arial" w:cs="Arial"/>
          <w:b/>
          <w:b/>
          <w:bCs/>
          <w:iCs/>
          <w:color w:val="000000"/>
          <w:sz w:val="21"/>
          <w:szCs w:val="21"/>
          <w:u w:val="single"/>
        </w:rPr>
      </w:pPr>
      <w:r>
        <w:rPr>
          <w:rFonts w:cs="Arial" w:ascii="Arial" w:hAnsi="Arial"/>
          <w:b/>
          <w:bCs/>
          <w:iCs/>
          <w:color w:val="000000"/>
          <w:sz w:val="21"/>
          <w:szCs w:val="21"/>
          <w:u w:val="single"/>
        </w:rPr>
      </w:r>
    </w:p>
    <w:p>
      <w:pPr>
        <w:pStyle w:val="Nivel01"/>
        <w:numPr>
          <w:ilvl w:val="0"/>
          <w:numId w:val="1"/>
        </w:numPr>
        <w:spacing w:before="288" w:after="288"/>
        <w:ind w:left="0" w:right="0" w:hanging="0"/>
        <w:rPr>
          <w:sz w:val="21"/>
          <w:szCs w:val="21"/>
          <w:lang w:eastAsia="en-US"/>
        </w:rPr>
      </w:pPr>
      <w:bookmarkStart w:id="2" w:name="_Toc136943930"/>
      <w:r>
        <w:rPr>
          <w:sz w:val="21"/>
          <w:szCs w:val="21"/>
          <w:lang w:eastAsia="en-US"/>
        </w:rPr>
        <w:t>DO OBJETO</w:t>
      </w:r>
      <w:bookmarkEnd w:id="2"/>
    </w:p>
    <w:p>
      <w:pPr>
        <w:pStyle w:val="Nivel2"/>
        <w:numPr>
          <w:ilvl w:val="1"/>
          <w:numId w:val="1"/>
        </w:numPr>
        <w:tabs>
          <w:tab w:val="left" w:pos="0" w:leader="none"/>
          <w:tab w:val="left" w:pos="567" w:leader="none"/>
        </w:tabs>
        <w:ind w:left="0" w:hanging="0"/>
        <w:rPr/>
      </w:pPr>
      <w:r>
        <w:rPr>
          <w:sz w:val="21"/>
          <w:szCs w:val="21"/>
        </w:rPr>
        <w:t xml:space="preserve">O objeto da presente licitação é o </w:t>
      </w:r>
      <w:r>
        <w:rPr>
          <w:b/>
          <w:sz w:val="21"/>
          <w:szCs w:val="21"/>
        </w:rPr>
        <w:t xml:space="preserve">REGISTRO DE PREÇOS </w:t>
      </w:r>
      <w:r>
        <w:rPr>
          <w:b w:val="false"/>
          <w:bCs w:val="false"/>
          <w:sz w:val="21"/>
          <w:szCs w:val="21"/>
        </w:rPr>
        <w:t>para o fornecimento de equipamentos e serviços para implantação de dispositivos de segurança aos transeuntes em via pública e demais pontos que necessitem de advertência complementar nas vias públicas do Município de São José dos Pinhais, atendendo as boas práticas e normas de engenharia vigentes,</w:t>
      </w:r>
      <w:r>
        <w:rPr>
          <w:b/>
          <w:sz w:val="21"/>
          <w:szCs w:val="21"/>
        </w:rPr>
        <w:t xml:space="preserve"> </w:t>
      </w:r>
      <w:commentRangeStart w:id="2"/>
      <w:commentRangeStart w:id="3"/>
      <w:r>
        <w:rPr>
          <w:sz w:val="21"/>
          <w:szCs w:val="21"/>
        </w:rPr>
        <w:t>conforme condições, quantidades e exigências estabelecidas neste Edital e seus anexos.</w:t>
      </w:r>
    </w:p>
    <w:p>
      <w:pPr>
        <w:pStyle w:val="Nvel2Red"/>
        <w:numPr>
          <w:ilvl w:val="1"/>
          <w:numId w:val="1"/>
        </w:numPr>
        <w:tabs>
          <w:tab w:val="left" w:pos="0" w:leader="none"/>
          <w:tab w:val="left" w:pos="567" w:leader="none"/>
        </w:tabs>
        <w:ind w:left="0" w:hanging="0"/>
        <w:rPr/>
      </w:pPr>
      <w:r>
        <w:rPr>
          <w:i w:val="false"/>
          <w:iCs w:val="false"/>
          <w:color w:val="000000"/>
          <w:sz w:val="21"/>
          <w:szCs w:val="21"/>
        </w:rPr>
        <w:t>A licitação será realizada em lote/grupo único, formados por 38 itens, conforme tabela constante no Anexo II – Orçamento da Administração, devendo o licitante oferecer proposta para todos os itens que o compõem.</w:t>
      </w:r>
      <w:r>
        <w:rPr>
          <w:i w:val="false"/>
          <w:iCs w:val="false"/>
          <w:color w:val="000000"/>
          <w:sz w:val="21"/>
          <w:szCs w:val="21"/>
        </w:rPr>
      </w:r>
      <w:commentRangeEnd w:id="3"/>
      <w:r>
        <w:commentReference w:id="3"/>
      </w:r>
      <w:commentRangeEnd w:id="2"/>
      <w:r>
        <w:commentReference w:id="2"/>
      </w:r>
      <w:r>
        <w:rPr>
          <w:i w:val="false"/>
          <w:iCs w:val="false"/>
          <w:color w:val="000000"/>
          <w:sz w:val="21"/>
          <w:szCs w:val="21"/>
        </w:rPr>
      </w:r>
    </w:p>
    <w:p>
      <w:pPr>
        <w:pStyle w:val="Nivel2"/>
        <w:numPr>
          <w:ilvl w:val="1"/>
          <w:numId w:val="1"/>
        </w:numPr>
        <w:tabs>
          <w:tab w:val="left" w:pos="0" w:leader="none"/>
          <w:tab w:val="left" w:pos="567" w:leader="none"/>
        </w:tabs>
        <w:ind w:left="0" w:hanging="0"/>
        <w:rPr>
          <w:color w:val="000000"/>
        </w:rPr>
      </w:pPr>
      <w:r>
        <w:rPr>
          <w:color w:val="000000"/>
          <w:sz w:val="21"/>
          <w:szCs w:val="21"/>
        </w:rPr>
        <w:t>O critério de julgamento adotado será o menor preço por lote.</w:t>
      </w:r>
    </w:p>
    <w:p>
      <w:pPr>
        <w:pStyle w:val="Nivel01"/>
        <w:numPr>
          <w:ilvl w:val="0"/>
          <w:numId w:val="1"/>
        </w:numPr>
        <w:spacing w:before="288" w:after="288"/>
        <w:ind w:left="0" w:right="0" w:hanging="0"/>
        <w:rPr>
          <w:shd w:fill="FFFFFF" w:val="clear"/>
        </w:rPr>
      </w:pPr>
      <w:commentRangeStart w:id="4"/>
      <w:r>
        <w:rPr>
          <w:sz w:val="21"/>
          <w:szCs w:val="21"/>
          <w:shd w:fill="FFFFFF" w:val="clear"/>
        </w:rPr>
        <w:t xml:space="preserve">DO REGISTRO DE PREÇOS </w:t>
      </w:r>
      <w:bookmarkStart w:id="3" w:name="_Toc136943931"/>
      <w:bookmarkEnd w:id="3"/>
      <w:commentRangeEnd w:id="4"/>
      <w:r>
        <w:commentReference w:id="4"/>
      </w:r>
      <w:r>
        <w:rPr>
          <w:sz w:val="21"/>
          <w:szCs w:val="21"/>
          <w:shd w:fill="FFFFFF" w:val="clear"/>
        </w:rPr>
      </w:r>
    </w:p>
    <w:p>
      <w:pPr>
        <w:pStyle w:val="Nivel2"/>
        <w:numPr>
          <w:ilvl w:val="1"/>
          <w:numId w:val="1"/>
        </w:numPr>
        <w:tabs>
          <w:tab w:val="left" w:pos="0" w:leader="none"/>
          <w:tab w:val="left" w:pos="567" w:leader="none"/>
        </w:tabs>
        <w:spacing w:before="288" w:after="288"/>
        <w:ind w:left="0" w:hanging="0"/>
        <w:rPr>
          <w:shd w:fill="FFFFFF" w:val="clear"/>
        </w:rPr>
      </w:pPr>
      <w:r>
        <w:rPr>
          <w:sz w:val="21"/>
          <w:szCs w:val="21"/>
          <w:shd w:fill="FFFFFF" w:val="clear"/>
        </w:rPr>
        <w:t xml:space="preserve">O Município de São José dos Pinhais não permitirá adesão às Atas de Registro de Preços decorrentes desta </w:t>
      </w:r>
      <w:commentRangeStart w:id="5"/>
      <w:r>
        <w:rPr>
          <w:sz w:val="21"/>
          <w:szCs w:val="21"/>
          <w:shd w:fill="FFFFFF" w:val="clear"/>
        </w:rPr>
        <w:t>licitação</w:t>
      </w:r>
      <w:r>
        <w:rPr>
          <w:sz w:val="21"/>
          <w:szCs w:val="21"/>
          <w:shd w:fill="FFFFFF" w:val="clear"/>
        </w:rPr>
      </w:r>
      <w:commentRangeEnd w:id="5"/>
      <w:r>
        <w:commentReference w:id="5"/>
      </w:r>
      <w:r>
        <w:rPr>
          <w:sz w:val="21"/>
          <w:szCs w:val="21"/>
          <w:shd w:fill="FFFFFF" w:val="clear"/>
        </w:rPr>
        <w:t xml:space="preserve">. </w:t>
      </w:r>
    </w:p>
    <w:p>
      <w:pPr>
        <w:pStyle w:val="Nivel01"/>
        <w:numPr>
          <w:ilvl w:val="0"/>
          <w:numId w:val="1"/>
        </w:numPr>
        <w:spacing w:before="288" w:after="288"/>
        <w:ind w:left="0" w:right="0" w:hanging="0"/>
        <w:rPr>
          <w:sz w:val="21"/>
          <w:szCs w:val="21"/>
        </w:rPr>
      </w:pPr>
      <w:r>
        <w:rPr>
          <w:sz w:val="21"/>
          <w:szCs w:val="21"/>
          <w:shd w:fill="FFFFFF" w:val="clear"/>
        </w:rPr>
        <w:t>DOS RECURSOS OR</w:t>
      </w:r>
      <w:r>
        <w:rPr>
          <w:sz w:val="21"/>
          <w:szCs w:val="21"/>
        </w:rPr>
        <w:t>ÇAMENTÁRIOS</w:t>
      </w:r>
    </w:p>
    <w:p>
      <w:pPr>
        <w:pStyle w:val="Nivel2"/>
        <w:numPr>
          <w:ilvl w:val="1"/>
          <w:numId w:val="1"/>
        </w:numPr>
        <w:tabs>
          <w:tab w:val="left" w:pos="0" w:leader="none"/>
          <w:tab w:val="left" w:pos="567" w:leader="none"/>
        </w:tabs>
        <w:spacing w:before="288" w:after="288"/>
        <w:ind w:left="0" w:hanging="0"/>
        <w:rPr/>
      </w:pPr>
      <w:commentRangeStart w:id="6"/>
      <w:r>
        <w:rPr>
          <w:sz w:val="21"/>
          <w:szCs w:val="21"/>
        </w:rPr>
        <w:t>As despesas futuras correrão por conta das rubricas 33.90.39 e 33.90.30.</w:t>
      </w:r>
      <w:commentRangeEnd w:id="6"/>
      <w:r>
        <w:commentReference w:id="6"/>
      </w:r>
      <w:r>
        <w:rPr>
          <w:sz w:val="21"/>
          <w:szCs w:val="21"/>
        </w:rPr>
      </w:r>
    </w:p>
    <w:p>
      <w:pPr>
        <w:pStyle w:val="Nivel01"/>
        <w:numPr>
          <w:ilvl w:val="0"/>
          <w:numId w:val="1"/>
        </w:numPr>
        <w:spacing w:before="288" w:after="288"/>
        <w:ind w:left="0" w:right="0" w:hanging="0"/>
        <w:rPr>
          <w:sz w:val="21"/>
          <w:szCs w:val="21"/>
        </w:rPr>
      </w:pPr>
      <w:bookmarkStart w:id="4" w:name="_Toc136943932"/>
      <w:r>
        <w:rPr>
          <w:sz w:val="21"/>
          <w:szCs w:val="21"/>
        </w:rPr>
        <w:t>DA PARTICIPAÇÃO NA LICITAÇÃO</w:t>
      </w:r>
      <w:bookmarkEnd w:id="4"/>
    </w:p>
    <w:p>
      <w:pPr>
        <w:pStyle w:val="Nivel2"/>
        <w:numPr>
          <w:ilvl w:val="1"/>
          <w:numId w:val="1"/>
        </w:numPr>
        <w:tabs>
          <w:tab w:val="left" w:pos="0" w:leader="none"/>
          <w:tab w:val="left" w:pos="567" w:leader="none"/>
        </w:tabs>
        <w:ind w:left="0" w:hanging="0"/>
        <w:rPr/>
      </w:pPr>
      <w:bookmarkStart w:id="5" w:name="_Hlk135302270"/>
      <w:r>
        <w:rPr>
          <w:sz w:val="21"/>
          <w:szCs w:val="21"/>
        </w:rPr>
        <w:t>Poderão participar deste Pregão os interessados que estiverem previamente credenciados no Sistema de C</w:t>
      </w:r>
      <w:r>
        <w:rPr>
          <w:color w:val="000000"/>
          <w:sz w:val="21"/>
          <w:szCs w:val="21"/>
        </w:rPr>
        <w:t>adastramento Unificado de Fornecedores - SICAF e no Sistema de Compras do Governo Federal (</w:t>
      </w:r>
      <w:hyperlink r:id="rId3">
        <w:r>
          <w:rPr>
            <w:rStyle w:val="LinkdaInternet"/>
            <w:color w:val="000000"/>
            <w:sz w:val="21"/>
            <w:szCs w:val="21"/>
          </w:rPr>
          <w:t>www.gov.br/compras</w:t>
        </w:r>
      </w:hyperlink>
      <w:r>
        <w:rPr>
          <w:color w:val="000000"/>
          <w:sz w:val="21"/>
          <w:szCs w:val="21"/>
        </w:rPr>
        <w:t>).</w:t>
      </w:r>
      <w:bookmarkEnd w:id="5"/>
    </w:p>
    <w:p>
      <w:pPr>
        <w:pStyle w:val="Nivel3"/>
        <w:numPr>
          <w:ilvl w:val="2"/>
          <w:numId w:val="1"/>
        </w:numPr>
        <w:tabs>
          <w:tab w:val="left" w:pos="0" w:leader="none"/>
          <w:tab w:val="left" w:pos="851" w:leader="none"/>
        </w:tabs>
        <w:ind w:left="284" w:hanging="0"/>
        <w:rPr>
          <w:sz w:val="21"/>
          <w:szCs w:val="21"/>
        </w:rPr>
      </w:pPr>
      <w:r>
        <w:rPr>
          <w:color w:val="000000"/>
          <w:sz w:val="21"/>
          <w:szCs w:val="21"/>
        </w:rPr>
        <w:t>Os interessados deverão atender</w:t>
      </w:r>
      <w:r>
        <w:rPr>
          <w:sz w:val="21"/>
          <w:szCs w:val="21"/>
        </w:rPr>
        <w:t xml:space="preserve"> às condições exigidas no cadastramento no SICAF até o terceiro dia útil anterior à data prevista para recebimento das propostas.</w:t>
      </w:r>
      <w:bookmarkStart w:id="6" w:name="_Hlk135304247"/>
      <w:bookmarkEnd w:id="6"/>
    </w:p>
    <w:p>
      <w:pPr>
        <w:pStyle w:val="Nivel2"/>
        <w:numPr>
          <w:ilvl w:val="1"/>
          <w:numId w:val="1"/>
        </w:numPr>
        <w:tabs>
          <w:tab w:val="left" w:pos="0" w:leader="none"/>
          <w:tab w:val="left" w:pos="567" w:leader="none"/>
        </w:tabs>
        <w:ind w:left="0" w:hanging="0"/>
        <w:rPr/>
      </w:pPr>
      <w:r>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tabs>
          <w:tab w:val="left" w:pos="0" w:leader="none"/>
          <w:tab w:val="left" w:pos="567" w:leader="none"/>
        </w:tabs>
        <w:ind w:left="0" w:hanging="0"/>
        <w:rPr>
          <w:sz w:val="21"/>
          <w:szCs w:val="21"/>
        </w:rPr>
      </w:pPr>
      <w:r>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tabs>
          <w:tab w:val="left" w:pos="0" w:leader="none"/>
          <w:tab w:val="left" w:pos="567" w:leader="none"/>
        </w:tabs>
        <w:ind w:left="0" w:hanging="0"/>
        <w:rPr>
          <w:color w:val="000000"/>
        </w:rPr>
      </w:pPr>
      <w:r>
        <w:rPr>
          <w:color w:val="000000"/>
          <w:sz w:val="21"/>
          <w:szCs w:val="21"/>
        </w:rPr>
        <w:t xml:space="preserve">A não observância do disposto no item anterior poderá ensejar desclassificação no </w:t>
      </w:r>
      <w:r>
        <w:rPr>
          <w:color w:val="000000"/>
          <w:sz w:val="21"/>
          <w:szCs w:val="21"/>
          <w:shd w:fill="FFFFFF" w:val="clear"/>
        </w:rPr>
        <w:t>momento da habilitação.</w:t>
      </w:r>
    </w:p>
    <w:p>
      <w:pPr>
        <w:pStyle w:val="Nivel2"/>
        <w:tabs>
          <w:tab w:val="clear" w:pos="0"/>
          <w:tab w:val="left" w:pos="426" w:leader="none"/>
        </w:tabs>
        <w:ind w:left="0" w:hanging="0"/>
        <w:rPr>
          <w:color w:val="000000"/>
        </w:rPr>
      </w:pPr>
      <w:r>
        <w:rPr>
          <w:rFonts w:eastAsia="Times New Roman"/>
          <w:b/>
          <w:color w:val="000000"/>
          <w:sz w:val="21"/>
          <w:szCs w:val="21"/>
          <w:shd w:fill="FFFFFF" w:val="clear"/>
        </w:rPr>
        <w:t>4.5.</w:t>
      </w:r>
      <w:r>
        <w:rPr>
          <w:rFonts w:eastAsia="Times New Roman"/>
          <w:color w:val="000000"/>
          <w:sz w:val="21"/>
          <w:szCs w:val="21"/>
          <w:shd w:fill="FFFFFF" w:val="clear"/>
        </w:rPr>
        <w:t xml:space="preserve"> Será concedido tratamento favorecido para as microempresas e empresas de pequeno porte, nos limites previstos da Lei Complementar nº 123/06 e alterações, desde que declare no campo próprio do sistema su</w:t>
      </w:r>
      <w:r>
        <w:rPr>
          <w:rFonts w:eastAsia="Times New Roman"/>
          <w:color w:val="000000"/>
          <w:sz w:val="21"/>
          <w:szCs w:val="21"/>
        </w:rPr>
        <w:t>a condição.</w:t>
      </w:r>
    </w:p>
    <w:p>
      <w:pPr>
        <w:pStyle w:val="Nivel2"/>
        <w:numPr>
          <w:ilvl w:val="1"/>
          <w:numId w:val="1"/>
        </w:numPr>
        <w:tabs>
          <w:tab w:val="left" w:pos="0" w:leader="none"/>
          <w:tab w:val="left" w:pos="567" w:leader="none"/>
        </w:tabs>
        <w:ind w:left="0" w:hanging="0"/>
        <w:rPr/>
      </w:pPr>
      <w:r>
        <w:rPr>
          <w:color w:val="000000"/>
          <w:sz w:val="21"/>
          <w:szCs w:val="21"/>
        </w:rPr>
        <w:t>O tratamento de favorecimento para as microempresas e empresas de pequeno porte</w:t>
      </w:r>
      <w:r>
        <w:rPr/>
        <w:commentReference w:id="7"/>
      </w:r>
      <w:r>
        <w:rPr>
          <w:color w:val="000000"/>
          <w:sz w:val="21"/>
          <w:szCs w:val="21"/>
        </w:rPr>
        <w:t xml:space="preserve">, para o agricultor familiar, o produtor rural pessoa física e para o microempreendedor individual - MEI, seguirão os limites previstos da </w:t>
      </w:r>
      <w:hyperlink r:id="rId4">
        <w:r>
          <w:rPr>
            <w:rStyle w:val="LinkdaInternet"/>
            <w:color w:val="000000"/>
            <w:sz w:val="21"/>
            <w:szCs w:val="21"/>
          </w:rPr>
          <w:t>Lei Complementar nº 123, de 2006</w:t>
        </w:r>
      </w:hyperlink>
      <w:r>
        <w:rPr>
          <w:color w:val="000000"/>
          <w:sz w:val="21"/>
          <w:szCs w:val="21"/>
        </w:rPr>
        <w:t xml:space="preserve"> e do Decreto n.º 8.538, de 2015.</w:t>
      </w:r>
    </w:p>
    <w:p>
      <w:pPr>
        <w:pStyle w:val="Nivel2"/>
        <w:numPr>
          <w:ilvl w:val="1"/>
          <w:numId w:val="1"/>
        </w:numPr>
        <w:tabs>
          <w:tab w:val="left" w:pos="0" w:leader="none"/>
          <w:tab w:val="left" w:pos="567" w:leader="none"/>
        </w:tabs>
        <w:ind w:left="0" w:hanging="0"/>
        <w:rPr>
          <w:color w:val="000000"/>
        </w:rPr>
      </w:pPr>
      <w:bookmarkStart w:id="7" w:name="_Ref117000692"/>
      <w:r>
        <w:rPr>
          <w:color w:val="000000"/>
          <w:sz w:val="21"/>
          <w:szCs w:val="21"/>
        </w:rPr>
        <w:t>Não poderão disputar esta licitação:</w:t>
      </w:r>
      <w:bookmarkEnd w:id="7"/>
    </w:p>
    <w:p>
      <w:pPr>
        <w:pStyle w:val="Nivel3"/>
        <w:numPr>
          <w:ilvl w:val="2"/>
          <w:numId w:val="1"/>
        </w:numPr>
        <w:tabs>
          <w:tab w:val="left" w:pos="0" w:leader="none"/>
          <w:tab w:val="left" w:pos="993" w:leader="none"/>
        </w:tabs>
        <w:ind w:left="284" w:hanging="0"/>
        <w:rPr>
          <w:sz w:val="21"/>
          <w:szCs w:val="21"/>
        </w:rPr>
      </w:pPr>
      <w:r>
        <w:rPr>
          <w:sz w:val="21"/>
          <w:szCs w:val="21"/>
        </w:rPr>
        <w:t>Aquele que não atenda às condições deste Edital e seu(s) anexo(s);</w:t>
      </w:r>
    </w:p>
    <w:p>
      <w:pPr>
        <w:pStyle w:val="Nivel3"/>
        <w:numPr>
          <w:ilvl w:val="2"/>
          <w:numId w:val="1"/>
        </w:numPr>
        <w:tabs>
          <w:tab w:val="left" w:pos="0" w:leader="none"/>
          <w:tab w:val="left" w:pos="993" w:leader="none"/>
        </w:tabs>
        <w:ind w:left="284" w:hanging="0"/>
        <w:rPr>
          <w:sz w:val="21"/>
          <w:szCs w:val="21"/>
        </w:rPr>
      </w:pPr>
      <w:bookmarkStart w:id="8" w:name="_Ref114659912"/>
      <w:bookmarkStart w:id="9" w:name="_Ref113883338"/>
      <w:r>
        <w:rPr>
          <w:sz w:val="21"/>
          <w:szCs w:val="21"/>
        </w:rPr>
        <w:t>Autor do anteprojeto, do projeto básico ou do projeto executivo, pessoa física ou jurídica, quando a licitação versar sobre serviços ou fornecimento de bens a ele relacionados;</w:t>
      </w:r>
      <w:bookmarkEnd w:id="8"/>
      <w:bookmarkEnd w:id="9"/>
    </w:p>
    <w:p>
      <w:pPr>
        <w:pStyle w:val="Nivel3"/>
        <w:numPr>
          <w:ilvl w:val="2"/>
          <w:numId w:val="1"/>
        </w:numPr>
        <w:tabs>
          <w:tab w:val="left" w:pos="0" w:leader="none"/>
          <w:tab w:val="left" w:pos="993" w:leader="none"/>
        </w:tabs>
        <w:ind w:left="284" w:hanging="0"/>
        <w:rPr>
          <w:sz w:val="21"/>
          <w:szCs w:val="21"/>
        </w:rPr>
      </w:pPr>
      <w:bookmarkStart w:id="10" w:name="_Ref114659913"/>
      <w:bookmarkStart w:id="11" w:name="_Ref113883339"/>
      <w:r>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pPr>
        <w:pStyle w:val="Nivel3"/>
        <w:numPr>
          <w:ilvl w:val="2"/>
          <w:numId w:val="1"/>
        </w:numPr>
        <w:tabs>
          <w:tab w:val="left" w:pos="0" w:leader="none"/>
          <w:tab w:val="left" w:pos="993" w:leader="none"/>
        </w:tabs>
        <w:ind w:left="284" w:hanging="0"/>
        <w:rPr>
          <w:sz w:val="21"/>
          <w:szCs w:val="21"/>
        </w:rPr>
      </w:pPr>
      <w:bookmarkStart w:id="12" w:name="_Ref113883003"/>
      <w:r>
        <w:rPr>
          <w:sz w:val="21"/>
          <w:szCs w:val="21"/>
        </w:rPr>
        <w:t>Pessoa física ou jurídica que se encontre, ao tempo da licitação, impossibilitada de participar da licitação em decorrência de sanção que lhe foi imposta;</w:t>
      </w:r>
      <w:bookmarkEnd w:id="12"/>
    </w:p>
    <w:p>
      <w:pPr>
        <w:pStyle w:val="Nivel3"/>
        <w:numPr>
          <w:ilvl w:val="2"/>
          <w:numId w:val="1"/>
        </w:numPr>
        <w:tabs>
          <w:tab w:val="left" w:pos="0" w:leader="none"/>
          <w:tab w:val="left" w:pos="993" w:leader="none"/>
        </w:tabs>
        <w:ind w:left="284" w:hanging="0"/>
        <w:rPr>
          <w:sz w:val="21"/>
          <w:szCs w:val="21"/>
        </w:rPr>
      </w:pPr>
      <w:r>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tabs>
          <w:tab w:val="left" w:pos="0" w:leader="none"/>
          <w:tab w:val="left" w:pos="993" w:leader="none"/>
        </w:tabs>
        <w:ind w:left="284" w:hanging="0"/>
        <w:rPr>
          <w:sz w:val="21"/>
          <w:szCs w:val="21"/>
        </w:rPr>
      </w:pPr>
      <w:bookmarkStart w:id="13" w:name="_Ref113883579"/>
      <w:r>
        <w:rPr>
          <w:sz w:val="21"/>
          <w:szCs w:val="21"/>
        </w:rPr>
        <w:t>Empresas controladoras, controladas ou coligadas, nos termos da Lei nº 6.404, de 15 de dezembro de 1976, concorrendo entre si;</w:t>
      </w:r>
      <w:bookmarkEnd w:id="13"/>
    </w:p>
    <w:p>
      <w:pPr>
        <w:pStyle w:val="Nivel3"/>
        <w:numPr>
          <w:ilvl w:val="2"/>
          <w:numId w:val="1"/>
        </w:numPr>
        <w:tabs>
          <w:tab w:val="left" w:pos="0" w:leader="none"/>
          <w:tab w:val="left" w:pos="993" w:leader="none"/>
        </w:tabs>
        <w:ind w:left="284" w:hanging="0"/>
        <w:rPr>
          <w:sz w:val="21"/>
          <w:szCs w:val="21"/>
        </w:rPr>
      </w:pPr>
      <w:r>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tabs>
          <w:tab w:val="left" w:pos="0" w:leader="none"/>
          <w:tab w:val="left" w:pos="993" w:leader="none"/>
        </w:tabs>
        <w:ind w:left="284" w:hanging="0"/>
        <w:rPr>
          <w:sz w:val="21"/>
          <w:szCs w:val="21"/>
        </w:rPr>
      </w:pPr>
      <w:bookmarkStart w:id="14" w:name="_Ref113962336"/>
      <w:r>
        <w:rPr>
          <w:sz w:val="21"/>
          <w:szCs w:val="21"/>
        </w:rPr>
        <w:t>Agente público do órgão ou entidade licitante;</w:t>
      </w:r>
      <w:bookmarkEnd w:id="14"/>
    </w:p>
    <w:p>
      <w:pPr>
        <w:pStyle w:val="Nivel3"/>
        <w:numPr>
          <w:ilvl w:val="2"/>
          <w:numId w:val="1"/>
        </w:numPr>
        <w:tabs>
          <w:tab w:val="left" w:pos="0" w:leader="none"/>
          <w:tab w:val="left" w:pos="993" w:leader="none"/>
        </w:tabs>
        <w:ind w:left="284" w:hanging="0"/>
        <w:rPr>
          <w:sz w:val="21"/>
          <w:szCs w:val="21"/>
        </w:rPr>
      </w:pPr>
      <w:r>
        <w:rPr>
          <w:sz w:val="21"/>
          <w:szCs w:val="21"/>
        </w:rPr>
        <w:t>Organizações da Sociedade Civil de Interesse Público - OSCIP, atuando nessa condição;</w:t>
      </w:r>
    </w:p>
    <w:p>
      <w:pPr>
        <w:pStyle w:val="Nivel3"/>
        <w:numPr>
          <w:ilvl w:val="2"/>
          <w:numId w:val="1"/>
        </w:numPr>
        <w:tabs>
          <w:tab w:val="left" w:pos="0" w:leader="none"/>
          <w:tab w:val="left" w:pos="993" w:leader="none"/>
        </w:tabs>
        <w:ind w:left="284" w:hanging="0"/>
        <w:rPr/>
      </w:pPr>
      <w:r>
        <w:rPr>
          <w:sz w:val="21"/>
          <w:szCs w:val="21"/>
        </w:rPr>
        <w:t>Não poderá participar, direta ou indiretamente, da licitação ou da execução do contrato agente público do órgão ou entida</w:t>
      </w:r>
      <w:r>
        <w:rPr>
          <w:color w:val="000000"/>
          <w:sz w:val="21"/>
          <w:szCs w:val="21"/>
          <w:shd w:fill="FFFFFF" w:val="clear"/>
        </w:rPr>
        <w:t xml:space="preserve">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1"/>
          <w:shd w:fill="FFFFFF" w:val="clear"/>
          <w:szCs w:val="21"/>
          <w:color w:val="000000"/>
        </w:rPr>
        <w:instrText> HYPERLINK "http://www.planalto.gov.br/ccivil_03/_ato2019-2022/2021/lei/L14133.htm" \l "art9§1"</w:instrText>
      </w:r>
      <w:r>
        <w:rPr>
          <w:rStyle w:val="LinkdaInternet"/>
          <w:sz w:val="21"/>
          <w:shd w:fill="FFFFFF" w:val="clear"/>
          <w:szCs w:val="21"/>
          <w:color w:val="000000"/>
        </w:rPr>
        <w:fldChar w:fldCharType="separate"/>
      </w:r>
      <w:r>
        <w:rPr>
          <w:rStyle w:val="LinkdaInternet"/>
          <w:color w:val="000000"/>
          <w:sz w:val="21"/>
          <w:szCs w:val="21"/>
          <w:shd w:fill="FFFFFF" w:val="clear"/>
        </w:rPr>
        <w:t>§ 1º do art. 9º da Lei nº 14.133, de 2021</w:t>
      </w:r>
      <w:r>
        <w:rPr>
          <w:rStyle w:val="LinkdaInternet"/>
          <w:sz w:val="21"/>
          <w:shd w:fill="FFFFFF" w:val="clear"/>
          <w:szCs w:val="21"/>
          <w:color w:val="000000"/>
        </w:rPr>
        <w:fldChar w:fldCharType="end"/>
      </w:r>
      <w:r>
        <w:rPr>
          <w:color w:val="000000"/>
          <w:sz w:val="21"/>
          <w:szCs w:val="21"/>
          <w:shd w:fill="FFFFFF" w:val="clear"/>
        </w:rPr>
        <w:t>.</w:t>
      </w:r>
    </w:p>
    <w:p>
      <w:pPr>
        <w:pStyle w:val="Nivel2"/>
        <w:numPr>
          <w:ilvl w:val="1"/>
          <w:numId w:val="1"/>
        </w:numPr>
        <w:tabs>
          <w:tab w:val="left" w:pos="0" w:leader="none"/>
          <w:tab w:val="left" w:pos="567" w:leader="none"/>
        </w:tabs>
        <w:ind w:left="0" w:hanging="0"/>
        <w:rPr>
          <w:color w:val="000000"/>
          <w:shd w:fill="FFFFFF" w:val="clear"/>
        </w:rPr>
      </w:pPr>
      <w:r>
        <w:rPr>
          <w:color w:val="000000"/>
          <w:sz w:val="21"/>
          <w:szCs w:val="21"/>
          <w:shd w:fill="FFFFFF" w:val="clear"/>
        </w:rPr>
        <w:t xml:space="preserve">O impedimento de que trata o item </w:t>
      </w:r>
      <w:r>
        <w:rPr>
          <w:color w:val="000000"/>
          <w:sz w:val="21"/>
          <w:szCs w:val="21"/>
          <w:shd w:fill="FFFFFF" w:val="clear"/>
        </w:rPr>
        <w:fldChar w:fldCharType="begin"/>
      </w:r>
      <w:r>
        <w:rPr>
          <w:sz w:val="21"/>
          <w:shd w:fill="FFFFFF" w:val="clear"/>
          <w:szCs w:val="21"/>
          <w:color w:val="000000"/>
        </w:rPr>
        <w:instrText> REF _Ref113883003 \r \h </w:instrText>
      </w:r>
      <w:r>
        <w:rPr>
          <w:sz w:val="21"/>
          <w:shd w:fill="FFFFFF" w:val="clear"/>
          <w:szCs w:val="21"/>
          <w:color w:val="000000"/>
        </w:rPr>
        <w:fldChar w:fldCharType="separate"/>
      </w:r>
      <w:r>
        <w:rPr>
          <w:sz w:val="21"/>
          <w:shd w:fill="FFFFFF" w:val="clear"/>
          <w:szCs w:val="21"/>
          <w:color w:val="000000"/>
        </w:rPr>
        <w:t>4.6.4.</w:t>
      </w:r>
      <w:r>
        <w:rPr>
          <w:sz w:val="21"/>
          <w:shd w:fill="FFFFFF" w:val="clear"/>
          <w:szCs w:val="21"/>
          <w:color w:val="000000"/>
        </w:rPr>
        <w:fldChar w:fldCharType="end"/>
      </w:r>
      <w:r>
        <w:rPr>
          <w:color w:val="000000"/>
          <w:sz w:val="21"/>
          <w:szCs w:val="21"/>
          <w:shd w:fill="FFFFFF" w:val="clea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tabs>
          <w:tab w:val="left" w:pos="0" w:leader="none"/>
          <w:tab w:val="left" w:pos="567" w:leader="none"/>
        </w:tabs>
        <w:ind w:left="0" w:hanging="0"/>
        <w:rPr>
          <w:color w:val="000000"/>
          <w:shd w:fill="FFFFFF" w:val="clear"/>
        </w:rPr>
      </w:pPr>
      <w:bookmarkStart w:id="15" w:name="art14§2"/>
      <w:bookmarkEnd w:id="15"/>
      <w:r>
        <w:rPr>
          <w:color w:val="000000"/>
          <w:sz w:val="21"/>
          <w:szCs w:val="21"/>
          <w:shd w:fill="FFFFFF" w:val="clear"/>
        </w:rPr>
        <w:t xml:space="preserve">A critério da Administração e exclusivamente a seu serviço, o autor dos projetos e a empresa a que se referem os itens </w:t>
      </w:r>
      <w:r>
        <w:rPr>
          <w:color w:val="000000"/>
          <w:sz w:val="21"/>
          <w:szCs w:val="21"/>
          <w:shd w:fill="FFFFFF" w:val="clear"/>
        </w:rPr>
        <w:fldChar w:fldCharType="begin"/>
      </w:r>
      <w:r>
        <w:rPr>
          <w:sz w:val="21"/>
          <w:shd w:fill="FFFFFF" w:val="clear"/>
          <w:szCs w:val="21"/>
          <w:color w:val="000000"/>
        </w:rPr>
        <w:instrText> REF _Ref114659912 \r \h </w:instrText>
      </w:r>
      <w:r>
        <w:rPr>
          <w:sz w:val="21"/>
          <w:shd w:fill="FFFFFF" w:val="clear"/>
          <w:szCs w:val="21"/>
          <w:color w:val="000000"/>
        </w:rPr>
        <w:fldChar w:fldCharType="separate"/>
      </w:r>
      <w:r>
        <w:rPr>
          <w:sz w:val="21"/>
          <w:shd w:fill="FFFFFF" w:val="clear"/>
          <w:szCs w:val="21"/>
          <w:color w:val="000000"/>
        </w:rPr>
        <w:t>4.6.2.</w:t>
      </w:r>
      <w:r>
        <w:rPr>
          <w:sz w:val="21"/>
          <w:shd w:fill="FFFFFF" w:val="clear"/>
          <w:szCs w:val="21"/>
          <w:color w:val="000000"/>
        </w:rPr>
        <w:fldChar w:fldCharType="end"/>
      </w:r>
      <w:r>
        <w:rPr>
          <w:color w:val="000000"/>
          <w:sz w:val="21"/>
          <w:szCs w:val="21"/>
          <w:shd w:fill="FFFFFF" w:val="clear"/>
        </w:rPr>
        <w:t>e</w:t>
      </w:r>
      <w:r>
        <w:rPr>
          <w:color w:val="000000"/>
          <w:sz w:val="21"/>
          <w:szCs w:val="21"/>
          <w:shd w:fill="FFFFFF" w:val="clear"/>
        </w:rPr>
        <w:fldChar w:fldCharType="begin"/>
      </w:r>
      <w:r>
        <w:rPr>
          <w:sz w:val="21"/>
          <w:shd w:fill="FFFFFF" w:val="clear"/>
          <w:szCs w:val="21"/>
          <w:color w:val="000000"/>
        </w:rPr>
        <w:instrText> REF _Ref114659913 \r \h </w:instrText>
      </w:r>
      <w:r>
        <w:rPr>
          <w:sz w:val="21"/>
          <w:shd w:fill="FFFFFF" w:val="clear"/>
          <w:szCs w:val="21"/>
          <w:color w:val="000000"/>
        </w:rPr>
        <w:fldChar w:fldCharType="separate"/>
      </w:r>
      <w:r>
        <w:rPr>
          <w:sz w:val="21"/>
          <w:shd w:fill="FFFFFF" w:val="clear"/>
          <w:szCs w:val="21"/>
          <w:color w:val="000000"/>
        </w:rPr>
        <w:t>4.6.3.</w:t>
      </w:r>
      <w:r>
        <w:rPr>
          <w:sz w:val="21"/>
          <w:shd w:fill="FFFFFF" w:val="clear"/>
          <w:szCs w:val="21"/>
          <w:color w:val="000000"/>
        </w:rPr>
        <w:fldChar w:fldCharType="end"/>
      </w:r>
      <w:r>
        <w:rPr>
          <w:color w:val="000000"/>
          <w:sz w:val="21"/>
          <w:szCs w:val="21"/>
          <w:shd w:fill="FFFFFF" w:val="clea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tabs>
          <w:tab w:val="left" w:pos="0" w:leader="none"/>
          <w:tab w:val="left" w:pos="567" w:leader="none"/>
        </w:tabs>
        <w:ind w:left="0" w:hanging="0"/>
        <w:rPr>
          <w:color w:val="000000"/>
          <w:shd w:fill="FFFFFF" w:val="clear"/>
        </w:rPr>
      </w:pPr>
      <w:bookmarkStart w:id="16" w:name="art14§3"/>
      <w:bookmarkEnd w:id="16"/>
      <w:r>
        <w:rPr>
          <w:color w:val="000000"/>
          <w:sz w:val="21"/>
          <w:szCs w:val="21"/>
          <w:shd w:fill="FFFFFF" w:val="clear"/>
        </w:rPr>
        <w:t>Equiparam-se aos autores do projeto as empresas integrantes do mesmo grupo econômico.</w:t>
      </w:r>
    </w:p>
    <w:p>
      <w:pPr>
        <w:pStyle w:val="Nivel2"/>
        <w:numPr>
          <w:ilvl w:val="1"/>
          <w:numId w:val="1"/>
        </w:numPr>
        <w:tabs>
          <w:tab w:val="left" w:pos="0" w:leader="none"/>
          <w:tab w:val="left" w:pos="567" w:leader="none"/>
        </w:tabs>
        <w:ind w:left="0" w:hanging="0"/>
        <w:rPr>
          <w:color w:val="000000"/>
          <w:shd w:fill="FFFFFF" w:val="clear"/>
        </w:rPr>
      </w:pPr>
      <w:bookmarkStart w:id="17" w:name="art14§4"/>
      <w:bookmarkEnd w:id="17"/>
      <w:r>
        <w:rPr>
          <w:color w:val="000000"/>
          <w:sz w:val="21"/>
          <w:szCs w:val="21"/>
          <w:shd w:fill="FFFFFF" w:val="clear"/>
        </w:rPr>
        <w:t xml:space="preserve">O disposto nos itens </w:t>
      </w:r>
      <w:r>
        <w:rPr>
          <w:color w:val="000000"/>
          <w:sz w:val="21"/>
          <w:szCs w:val="21"/>
          <w:shd w:fill="FFFFFF" w:val="clear"/>
        </w:rPr>
        <w:fldChar w:fldCharType="begin"/>
      </w:r>
      <w:r>
        <w:rPr>
          <w:sz w:val="21"/>
          <w:shd w:fill="FFFFFF" w:val="clear"/>
          <w:szCs w:val="21"/>
          <w:color w:val="000000"/>
        </w:rPr>
        <w:instrText> REF _Ref114659912 \r \h </w:instrText>
      </w:r>
      <w:r>
        <w:rPr>
          <w:sz w:val="21"/>
          <w:shd w:fill="FFFFFF" w:val="clear"/>
          <w:szCs w:val="21"/>
          <w:color w:val="000000"/>
        </w:rPr>
        <w:fldChar w:fldCharType="separate"/>
      </w:r>
      <w:r>
        <w:rPr>
          <w:sz w:val="21"/>
          <w:shd w:fill="FFFFFF" w:val="clear"/>
          <w:szCs w:val="21"/>
          <w:color w:val="000000"/>
        </w:rPr>
        <w:t>4.6.2.</w:t>
      </w:r>
      <w:r>
        <w:rPr>
          <w:sz w:val="21"/>
          <w:shd w:fill="FFFFFF" w:val="clear"/>
          <w:szCs w:val="21"/>
          <w:color w:val="000000"/>
        </w:rPr>
        <w:fldChar w:fldCharType="end"/>
      </w:r>
      <w:r>
        <w:rPr>
          <w:color w:val="000000"/>
          <w:sz w:val="21"/>
          <w:szCs w:val="21"/>
          <w:shd w:fill="FFFFFF" w:val="clear"/>
        </w:rPr>
        <w:t>e</w:t>
      </w:r>
      <w:r>
        <w:rPr>
          <w:color w:val="000000"/>
          <w:sz w:val="21"/>
          <w:szCs w:val="21"/>
          <w:shd w:fill="FFFFFF" w:val="clear"/>
        </w:rPr>
        <w:fldChar w:fldCharType="begin"/>
      </w:r>
      <w:r>
        <w:rPr>
          <w:sz w:val="21"/>
          <w:shd w:fill="FFFFFF" w:val="clear"/>
          <w:szCs w:val="21"/>
          <w:color w:val="000000"/>
        </w:rPr>
        <w:instrText> REF _Ref114659913 \r \h </w:instrText>
      </w:r>
      <w:r>
        <w:rPr>
          <w:sz w:val="21"/>
          <w:shd w:fill="FFFFFF" w:val="clear"/>
          <w:szCs w:val="21"/>
          <w:color w:val="000000"/>
        </w:rPr>
        <w:fldChar w:fldCharType="separate"/>
      </w:r>
      <w:r>
        <w:rPr>
          <w:sz w:val="21"/>
          <w:shd w:fill="FFFFFF" w:val="clear"/>
          <w:szCs w:val="21"/>
          <w:color w:val="000000"/>
        </w:rPr>
        <w:t>4.6.3.</w:t>
      </w:r>
      <w:r>
        <w:rPr>
          <w:sz w:val="21"/>
          <w:shd w:fill="FFFFFF" w:val="clear"/>
          <w:szCs w:val="21"/>
          <w:color w:val="000000"/>
        </w:rPr>
        <w:fldChar w:fldCharType="end"/>
      </w:r>
      <w:r>
        <w:rPr>
          <w:color w:val="000000"/>
          <w:sz w:val="21"/>
          <w:szCs w:val="21"/>
          <w:shd w:fill="FFFFFF" w:val="clea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tabs>
          <w:tab w:val="left" w:pos="0" w:leader="none"/>
          <w:tab w:val="left" w:pos="567" w:leader="none"/>
        </w:tabs>
        <w:ind w:left="0" w:hanging="0"/>
        <w:rPr/>
      </w:pPr>
      <w:bookmarkStart w:id="18" w:name="art14§5"/>
      <w:bookmarkEnd w:id="18"/>
      <w:r>
        <w:rPr>
          <w:color w:val="000000"/>
          <w:sz w:val="21"/>
          <w:szCs w:val="21"/>
          <w:shd w:fill="FFFFFF" w:val="clea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5">
        <w:r>
          <w:rPr>
            <w:rStyle w:val="LinkdaInternet"/>
            <w:color w:val="000000"/>
            <w:sz w:val="21"/>
            <w:szCs w:val="21"/>
            <w:shd w:fill="FFFFFF" w:val="clear"/>
          </w:rPr>
          <w:t>Lei nº 14.133/2021</w:t>
        </w:r>
      </w:hyperlink>
      <w:r>
        <w:rPr>
          <w:color w:val="000000"/>
          <w:sz w:val="21"/>
          <w:szCs w:val="21"/>
          <w:shd w:fill="FFFFFF" w:val="clear"/>
        </w:rPr>
        <w:t>.</w:t>
      </w:r>
    </w:p>
    <w:p>
      <w:pPr>
        <w:pStyle w:val="Nivel2"/>
        <w:numPr>
          <w:ilvl w:val="1"/>
          <w:numId w:val="1"/>
        </w:numPr>
        <w:tabs>
          <w:tab w:val="left" w:pos="0" w:leader="none"/>
          <w:tab w:val="left" w:pos="567" w:leader="none"/>
        </w:tabs>
        <w:ind w:left="0" w:hanging="0"/>
        <w:rPr/>
      </w:pPr>
      <w:r>
        <w:rPr>
          <w:color w:val="000000"/>
          <w:sz w:val="21"/>
          <w:szCs w:val="21"/>
          <w:shd w:fill="FFFFFF" w:val="clear"/>
        </w:rPr>
        <w:t xml:space="preserve">A vedação de que trata o item </w:t>
      </w:r>
      <w:r>
        <w:rPr>
          <w:color w:val="000000"/>
          <w:sz w:val="21"/>
          <w:szCs w:val="21"/>
          <w:shd w:fill="FFFFFF" w:val="clear"/>
        </w:rPr>
        <w:fldChar w:fldCharType="begin"/>
      </w:r>
      <w:r>
        <w:rPr>
          <w:sz w:val="21"/>
          <w:shd w:fill="FFFFFF" w:val="clear"/>
          <w:szCs w:val="21"/>
          <w:color w:val="000000"/>
        </w:rPr>
        <w:instrText> REF _Ref113962336 \r \h </w:instrText>
      </w:r>
      <w:r>
        <w:rPr>
          <w:sz w:val="21"/>
          <w:shd w:fill="FFFFFF" w:val="clear"/>
          <w:szCs w:val="21"/>
          <w:color w:val="000000"/>
        </w:rPr>
        <w:fldChar w:fldCharType="separate"/>
      </w:r>
      <w:r>
        <w:rPr>
          <w:sz w:val="21"/>
          <w:shd w:fill="FFFFFF" w:val="clear"/>
          <w:szCs w:val="21"/>
          <w:color w:val="000000"/>
        </w:rPr>
        <w:t>4.6.8.</w:t>
      </w:r>
      <w:r>
        <w:rPr>
          <w:sz w:val="21"/>
          <w:shd w:fill="FFFFFF" w:val="clear"/>
          <w:szCs w:val="21"/>
          <w:color w:val="000000"/>
        </w:rPr>
        <w:fldChar w:fldCharType="end"/>
      </w:r>
      <w:r>
        <w:rPr>
          <w:color w:val="000000"/>
          <w:sz w:val="21"/>
          <w:szCs w:val="21"/>
          <w:shd w:fill="FFFFFF" w:val="clear"/>
        </w:rPr>
        <w:t xml:space="preserve"> estende-se a terceiro que auxilie a condução da contratação na qualidade de integrante de equipe </w:t>
      </w:r>
      <w:r>
        <w:rPr>
          <w:sz w:val="21"/>
          <w:szCs w:val="21"/>
        </w:rPr>
        <w:t>de apoio, profissional especializado ou funcionário ou representante de empresa que preste assessoria técnica.</w:t>
      </w:r>
    </w:p>
    <w:p>
      <w:pPr>
        <w:pStyle w:val="Nivel01"/>
        <w:numPr>
          <w:ilvl w:val="0"/>
          <w:numId w:val="1"/>
        </w:numPr>
        <w:spacing w:before="288" w:after="288"/>
        <w:ind w:left="0" w:right="0" w:hanging="0"/>
        <w:rPr>
          <w:sz w:val="21"/>
          <w:szCs w:val="21"/>
        </w:rPr>
      </w:pPr>
      <w:bookmarkStart w:id="19" w:name="_Toc136943942"/>
      <w:r>
        <w:rPr>
          <w:sz w:val="21"/>
          <w:szCs w:val="21"/>
        </w:rPr>
        <w:t>DA IMPUGNAÇÃO AO EDITAL E DO PEDIDO DE ESCLARECIMENTO</w:t>
      </w:r>
      <w:bookmarkEnd w:id="19"/>
    </w:p>
    <w:p>
      <w:pPr>
        <w:pStyle w:val="Nivel2"/>
        <w:numPr>
          <w:ilvl w:val="1"/>
          <w:numId w:val="1"/>
        </w:numPr>
        <w:ind w:left="0" w:hanging="0"/>
        <w:rPr/>
      </w:pPr>
      <w:r>
        <w:rPr>
          <w:sz w:val="21"/>
          <w:szCs w:val="21"/>
        </w:rPr>
        <w:t xml:space="preserve">Qualquer pessoa é parte legítima para impugnar este Edital por irregularidade na aplicação da </w:t>
      </w:r>
      <w:hyperlink r:id="rId6">
        <w:r>
          <w:rPr>
            <w:rStyle w:val="LinkdaInternet"/>
            <w:color w:val="000000"/>
            <w:sz w:val="21"/>
            <w:szCs w:val="21"/>
            <w:u w:val="none"/>
          </w:rPr>
          <w:t>Lei nº 14.133, de 2021</w:t>
        </w:r>
      </w:hyperlink>
      <w:r>
        <w:rPr>
          <w:sz w:val="21"/>
          <w:szCs w:val="21"/>
        </w:rPr>
        <w:t>, devendo protocolar o pedido até 3 (três) dias úteis antes da data da abertura do certame.</w:t>
      </w:r>
    </w:p>
    <w:p>
      <w:pPr>
        <w:pStyle w:val="Nivel2"/>
        <w:numPr>
          <w:ilvl w:val="1"/>
          <w:numId w:val="1"/>
        </w:numPr>
        <w:ind w:left="0" w:hanging="0"/>
        <w:rPr>
          <w:sz w:val="21"/>
          <w:szCs w:val="21"/>
        </w:rPr>
      </w:pPr>
      <w:r>
        <w:rPr>
          <w:sz w:val="21"/>
          <w:szCs w:val="21"/>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pPr>
      <w:commentRangeStart w:id="8"/>
      <w:r>
        <w:rPr>
          <w:sz w:val="21"/>
          <w:szCs w:val="21"/>
        </w:rPr>
        <w:t xml:space="preserve">A impugnação e </w:t>
      </w:r>
      <w:r>
        <w:rPr>
          <w:b w:val="false"/>
          <w:bCs w:val="false"/>
          <w:color w:val="000000"/>
          <w:sz w:val="21"/>
          <w:szCs w:val="21"/>
        </w:rPr>
        <w:t xml:space="preserve">o pedido de esclarecimento poderão ser realizados por forma eletrônica, exclusivamente pelo e-mail </w:t>
      </w:r>
      <w:hyperlink r:id="rId7">
        <w:r>
          <w:rPr>
            <w:rStyle w:val="LinkdaInternet"/>
            <w:b w:val="false"/>
            <w:bCs w:val="false"/>
            <w:color w:val="000000"/>
            <w:sz w:val="21"/>
            <w:szCs w:val="21"/>
          </w:rPr>
          <w:t>pregoeiros.sermali@sjp.pr.gov.br</w:t>
        </w:r>
      </w:hyperlink>
      <w:r>
        <w:rPr>
          <w:b w:val="false"/>
          <w:bCs w:val="false"/>
          <w:color w:val="000000"/>
          <w:sz w:val="21"/>
          <w:szCs w:val="21"/>
        </w:rPr>
        <w:t xml:space="preserve">(aos cuidados do Pregoeiro – </w:t>
      </w:r>
      <w:r>
        <w:rPr>
          <w:b w:val="false"/>
          <w:bCs w:val="false"/>
          <w:color w:val="000000"/>
          <w:sz w:val="21"/>
          <w:szCs w:val="21"/>
          <w:shd w:fill="FFFFFF" w:val="clear"/>
        </w:rPr>
        <w:t>Ricardo Hochheim.</w:t>
      </w:r>
      <w:commentRangeEnd w:id="8"/>
      <w:r>
        <w:commentReference w:id="8"/>
      </w:r>
      <w:r>
        <w:rPr>
          <w:b w:val="false"/>
          <w:bCs w:val="false"/>
          <w:color w:val="000000"/>
          <w:sz w:val="21"/>
          <w:szCs w:val="21"/>
          <w:shd w:fill="FFFFFF" w:val="clear"/>
        </w:rPr>
      </w:r>
    </w:p>
    <w:p>
      <w:pPr>
        <w:pStyle w:val="Nivel2"/>
        <w:numPr>
          <w:ilvl w:val="1"/>
          <w:numId w:val="1"/>
        </w:numPr>
        <w:ind w:left="0" w:hanging="0"/>
        <w:rPr>
          <w:sz w:val="21"/>
          <w:szCs w:val="21"/>
        </w:rPr>
      </w:pPr>
      <w:r>
        <w:rPr>
          <w:b w:val="false"/>
          <w:bCs w:val="false"/>
          <w:color w:val="000000"/>
          <w:sz w:val="21"/>
          <w:szCs w:val="21"/>
        </w:rPr>
        <w:t>As impugnações e pedidos de esclareci</w:t>
      </w:r>
      <w:r>
        <w:rPr>
          <w:sz w:val="21"/>
          <w:szCs w:val="21"/>
        </w:rPr>
        <w:t>mentos não suspendem os prazos previstos no certame.</w:t>
      </w:r>
    </w:p>
    <w:p>
      <w:pPr>
        <w:pStyle w:val="Nivel3"/>
        <w:numPr>
          <w:ilvl w:val="2"/>
          <w:numId w:val="1"/>
        </w:numPr>
        <w:ind w:left="284" w:hanging="0"/>
        <w:rPr/>
      </w:pPr>
      <w:commentRangeStart w:id="9"/>
      <w:r>
        <w:rPr>
          <w:sz w:val="21"/>
          <w:szCs w:val="21"/>
        </w:rPr>
        <w:t>A concessão de efeito suspensivo à impugnação é medida excepcional e deverá ser motivada pela Autoridade Competente, nos autos do processo de licitação.</w:t>
      </w:r>
      <w:commentRangeEnd w:id="9"/>
      <w:r>
        <w:commentReference w:id="9"/>
      </w:r>
      <w:r>
        <w:rPr>
          <w:sz w:val="21"/>
          <w:szCs w:val="21"/>
        </w:rPr>
      </w:r>
    </w:p>
    <w:p>
      <w:pPr>
        <w:pStyle w:val="Nivel2"/>
        <w:numPr>
          <w:ilvl w:val="1"/>
          <w:numId w:val="1"/>
        </w:numPr>
        <w:ind w:left="0" w:hanging="0"/>
        <w:rPr>
          <w:sz w:val="21"/>
          <w:szCs w:val="21"/>
        </w:rPr>
      </w:pPr>
      <w:r>
        <w:rPr>
          <w:sz w:val="21"/>
          <w:szCs w:val="21"/>
        </w:rPr>
        <w:t>Acolhida a impugnação, será definida e publicada nova data para a realização do certame.</w:t>
      </w:r>
    </w:p>
    <w:p>
      <w:pPr>
        <w:pStyle w:val="Nivel01"/>
        <w:numPr>
          <w:ilvl w:val="0"/>
          <w:numId w:val="1"/>
        </w:numPr>
        <w:spacing w:before="288" w:after="288"/>
        <w:ind w:left="0" w:right="0" w:hanging="0"/>
        <w:rPr>
          <w:sz w:val="21"/>
          <w:szCs w:val="21"/>
        </w:rPr>
      </w:pPr>
      <w:bookmarkStart w:id="20" w:name="_Toc136943933"/>
      <w:r>
        <w:rPr>
          <w:sz w:val="21"/>
          <w:szCs w:val="21"/>
        </w:rPr>
        <w:t>DA APRESENTAÇÃO DA PROPOSTA E DOS DOCUMENTOS DE HABILITAÇÃO</w:t>
      </w:r>
      <w:bookmarkEnd w:id="20"/>
    </w:p>
    <w:p>
      <w:pPr>
        <w:pStyle w:val="Nvel2Red"/>
        <w:numPr>
          <w:ilvl w:val="1"/>
          <w:numId w:val="1"/>
        </w:numPr>
        <w:tabs>
          <w:tab w:val="left" w:pos="0" w:leader="none"/>
          <w:tab w:val="left" w:pos="567" w:leader="none"/>
        </w:tabs>
        <w:ind w:left="0" w:hanging="0"/>
        <w:rPr>
          <w:i w:val="false"/>
          <w:i w:val="false"/>
          <w:iCs w:val="false"/>
          <w:color w:val="000000"/>
        </w:rPr>
      </w:pPr>
      <w:commentRangeStart w:id="10"/>
      <w:r>
        <w:rPr>
          <w:i w:val="false"/>
          <w:iCs w:val="false"/>
          <w:color w:val="000000"/>
          <w:sz w:val="21"/>
          <w:szCs w:val="21"/>
        </w:rPr>
        <w:t>Na presente licitação, a fase de habilitação ocorrerá após as fases de apresentação de propostas de lances e de julgamento.</w:t>
      </w:r>
      <w:commentRangeEnd w:id="10"/>
      <w:r>
        <w:commentReference w:id="10"/>
      </w:r>
      <w:r>
        <w:rPr>
          <w:i w:val="false"/>
          <w:iCs w:val="false"/>
          <w:color w:val="000000"/>
          <w:sz w:val="21"/>
          <w:szCs w:val="21"/>
        </w:rPr>
      </w:r>
    </w:p>
    <w:p>
      <w:pPr>
        <w:pStyle w:val="Nivel2"/>
        <w:numPr>
          <w:ilvl w:val="1"/>
          <w:numId w:val="1"/>
        </w:numPr>
        <w:tabs>
          <w:tab w:val="left" w:pos="0" w:leader="none"/>
          <w:tab w:val="left" w:pos="567" w:leader="none"/>
        </w:tabs>
        <w:ind w:left="0" w:hanging="0"/>
        <w:rPr>
          <w:sz w:val="21"/>
          <w:szCs w:val="21"/>
        </w:rPr>
      </w:pPr>
      <w:bookmarkStart w:id="21" w:name="_Ref113886867"/>
      <w:r>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pPr>
        <w:pStyle w:val="Nivel2"/>
        <w:numPr>
          <w:ilvl w:val="1"/>
          <w:numId w:val="1"/>
        </w:numPr>
        <w:tabs>
          <w:tab w:val="left" w:pos="0" w:leader="none"/>
          <w:tab w:val="left" w:pos="567" w:leader="none"/>
        </w:tabs>
        <w:ind w:left="0" w:hanging="0"/>
        <w:rPr>
          <w:sz w:val="21"/>
          <w:szCs w:val="21"/>
        </w:rPr>
      </w:pPr>
      <w:bookmarkStart w:id="22" w:name="_Ref113968921"/>
      <w:r>
        <w:rPr>
          <w:sz w:val="21"/>
          <w:szCs w:val="21"/>
        </w:rPr>
        <w:t>No cadastramento da proposta inicial, o licitante declarará, em campo próprio do sistema, que:</w:t>
      </w:r>
      <w:bookmarkEnd w:id="22"/>
    </w:p>
    <w:p>
      <w:pPr>
        <w:pStyle w:val="Nivel3"/>
        <w:numPr>
          <w:ilvl w:val="2"/>
          <w:numId w:val="1"/>
        </w:numPr>
        <w:tabs>
          <w:tab w:val="left" w:pos="0" w:leader="none"/>
          <w:tab w:val="left" w:pos="993" w:leader="none"/>
        </w:tabs>
        <w:ind w:left="284" w:hanging="0"/>
        <w:rPr>
          <w:sz w:val="21"/>
          <w:szCs w:val="21"/>
        </w:rPr>
      </w:pPr>
      <w:r>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tabs>
          <w:tab w:val="left" w:pos="0" w:leader="none"/>
          <w:tab w:val="left" w:pos="993" w:leader="none"/>
        </w:tabs>
        <w:ind w:left="284" w:hanging="0"/>
        <w:rPr/>
      </w:pPr>
      <w:r>
        <w:rPr>
          <w:color w:val="000000"/>
          <w:sz w:val="21"/>
          <w:szCs w:val="21"/>
          <w:shd w:fill="FFFFFF" w:val="clear"/>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1"/>
          <w:shd w:fill="FFFFFF" w:val="clear"/>
          <w:szCs w:val="21"/>
          <w:color w:val="000000"/>
        </w:rPr>
        <w:instrText> HYPERLINK "https://www.planalto.gov.br/ccivil_03/constituicao/constituicaocompilado.htm" \l "art7"</w:instrText>
      </w:r>
      <w:r>
        <w:rPr>
          <w:rStyle w:val="LinkdaInternet"/>
          <w:sz w:val="21"/>
          <w:shd w:fill="FFFFFF" w:val="clear"/>
          <w:szCs w:val="21"/>
          <w:color w:val="000000"/>
        </w:rPr>
        <w:fldChar w:fldCharType="separate"/>
      </w:r>
      <w:r>
        <w:rPr>
          <w:rStyle w:val="LinkdaInternet"/>
          <w:color w:val="000000"/>
          <w:sz w:val="21"/>
          <w:szCs w:val="21"/>
          <w:shd w:fill="FFFFFF" w:val="clear"/>
        </w:rPr>
        <w:t>artigo 7°, XXXIII, da Constituição</w:t>
      </w:r>
      <w:r>
        <w:rPr>
          <w:rStyle w:val="LinkdaInternet"/>
          <w:sz w:val="21"/>
          <w:shd w:fill="FFFFFF" w:val="clear"/>
          <w:szCs w:val="21"/>
          <w:color w:val="000000"/>
        </w:rPr>
        <w:fldChar w:fldCharType="end"/>
      </w:r>
      <w:r>
        <w:rPr>
          <w:color w:val="000000"/>
          <w:sz w:val="21"/>
          <w:szCs w:val="21"/>
          <w:shd w:fill="FFFFFF" w:val="clear"/>
        </w:rPr>
        <w:t>;</w:t>
      </w:r>
    </w:p>
    <w:p>
      <w:pPr>
        <w:pStyle w:val="Nivel3"/>
        <w:numPr>
          <w:ilvl w:val="2"/>
          <w:numId w:val="1"/>
        </w:numPr>
        <w:tabs>
          <w:tab w:val="left" w:pos="0" w:leader="none"/>
          <w:tab w:val="left" w:pos="993" w:leader="none"/>
        </w:tabs>
        <w:ind w:left="284" w:hanging="0"/>
        <w:rPr/>
      </w:pPr>
      <w:r>
        <w:rPr>
          <w:color w:val="000000"/>
          <w:sz w:val="21"/>
          <w:szCs w:val="21"/>
          <w:shd w:fill="FFFFFF" w:val="clear"/>
        </w:rPr>
        <w:t xml:space="preserve">Não possui empregados executando trabalho degradante ou forçado, observando o disposto nos </w:t>
      </w:r>
      <w:hyperlink r:id="rId8">
        <w:r>
          <w:rPr>
            <w:rStyle w:val="LinkdaInternet"/>
            <w:color w:val="000000"/>
            <w:sz w:val="21"/>
            <w:szCs w:val="21"/>
            <w:shd w:fill="FFFFFF" w:val="clear"/>
          </w:rPr>
          <w:t>incisos III e IV do art. 1º e no inciso III do art. 5º da Constituição Federal</w:t>
        </w:r>
      </w:hyperlink>
      <w:r>
        <w:rPr>
          <w:color w:val="000000"/>
          <w:sz w:val="21"/>
          <w:szCs w:val="21"/>
          <w:shd w:fill="FFFFFF" w:val="clear"/>
        </w:rPr>
        <w:t>;</w:t>
      </w:r>
    </w:p>
    <w:p>
      <w:pPr>
        <w:pStyle w:val="Nivel3"/>
        <w:numPr>
          <w:ilvl w:val="2"/>
          <w:numId w:val="1"/>
        </w:numPr>
        <w:tabs>
          <w:tab w:val="left" w:pos="0" w:leader="none"/>
          <w:tab w:val="left" w:pos="993" w:leader="none"/>
        </w:tabs>
        <w:ind w:left="284" w:hanging="0"/>
        <w:rPr>
          <w:color w:val="000000"/>
          <w:shd w:fill="FFFFFF" w:val="clear"/>
        </w:rPr>
      </w:pPr>
      <w:r>
        <w:rPr>
          <w:color w:val="000000"/>
          <w:sz w:val="21"/>
          <w:szCs w:val="21"/>
          <w:shd w:fill="FFFFFF" w:val="clear"/>
        </w:rPr>
        <w:t>Cumpre as exigências de reserva de cargos para pessoa com deficiência e para reabilitado da Previdência Social, previstas em lei e em outras normas específicas.</w:t>
      </w:r>
    </w:p>
    <w:p>
      <w:pPr>
        <w:pStyle w:val="Nivel2"/>
        <w:numPr>
          <w:ilvl w:val="1"/>
          <w:numId w:val="1"/>
        </w:numPr>
        <w:tabs>
          <w:tab w:val="left" w:pos="0" w:leader="none"/>
          <w:tab w:val="left" w:pos="567" w:leader="none"/>
        </w:tabs>
        <w:ind w:left="0" w:hanging="0"/>
        <w:rPr/>
      </w:pPr>
      <w:r>
        <w:rPr>
          <w:color w:val="000000"/>
          <w:sz w:val="21"/>
          <w:szCs w:val="21"/>
          <w:shd w:fill="FFFFFF" w:val="clear"/>
        </w:rPr>
        <w:t xml:space="preserve">O licitante organizado em cooperativa deverá declarar, ainda, em campo próprio do sistema eletrônico, que cumpre os requisitos estabelecidos no </w:t>
      </w:r>
      <w:r>
        <w:fldChar w:fldCharType="begin"/>
      </w:r>
      <w:r>
        <w:rPr>
          <w:rStyle w:val="LinkdaInternet"/>
          <w:sz w:val="21"/>
          <w:shd w:fill="FFFFFF" w:val="clear"/>
          <w:szCs w:val="21"/>
          <w:color w:val="000000"/>
        </w:rPr>
        <w:instrText> HYPERLINK "http://www.planalto.gov.br/ccivil_03/_ato2019-2022/2021/lei/L14133.htm" \l "art16"</w:instrText>
      </w:r>
      <w:r>
        <w:rPr>
          <w:rStyle w:val="LinkdaInternet"/>
          <w:sz w:val="21"/>
          <w:shd w:fill="FFFFFF" w:val="clear"/>
          <w:szCs w:val="21"/>
          <w:color w:val="000000"/>
        </w:rPr>
        <w:fldChar w:fldCharType="separate"/>
      </w:r>
      <w:r>
        <w:rPr>
          <w:rStyle w:val="LinkdaInternet"/>
          <w:color w:val="000000"/>
          <w:sz w:val="21"/>
          <w:szCs w:val="21"/>
          <w:shd w:fill="FFFFFF" w:val="clear"/>
        </w:rPr>
        <w:t>artigo 16 da Lei nº 14.133, de 2021</w:t>
      </w:r>
      <w:r>
        <w:rPr>
          <w:rStyle w:val="LinkdaInternet"/>
          <w:sz w:val="21"/>
          <w:shd w:fill="FFFFFF" w:val="clear"/>
          <w:szCs w:val="21"/>
          <w:color w:val="000000"/>
        </w:rPr>
        <w:fldChar w:fldCharType="end"/>
      </w:r>
      <w:r>
        <w:rPr>
          <w:color w:val="000000"/>
          <w:sz w:val="21"/>
          <w:szCs w:val="21"/>
          <w:shd w:fill="FFFFFF" w:val="clear"/>
        </w:rPr>
        <w:t>.</w:t>
      </w:r>
    </w:p>
    <w:p>
      <w:pPr>
        <w:pStyle w:val="Nivel2"/>
        <w:numPr>
          <w:ilvl w:val="1"/>
          <w:numId w:val="1"/>
        </w:numPr>
        <w:tabs>
          <w:tab w:val="left" w:pos="0" w:leader="none"/>
          <w:tab w:val="left" w:pos="567" w:leader="none"/>
        </w:tabs>
        <w:ind w:left="0" w:hanging="0"/>
        <w:rPr/>
      </w:pPr>
      <w:bookmarkStart w:id="23" w:name="_Ref117000019"/>
      <w:r>
        <w:rPr>
          <w:color w:val="000000"/>
          <w:sz w:val="21"/>
          <w:szCs w:val="21"/>
          <w:shd w:fill="FFFFFF" w:val="clea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1"/>
          <w:shd w:fill="FFFFFF" w:val="clear"/>
          <w:szCs w:val="21"/>
          <w:color w:val="000000"/>
        </w:rPr>
        <w:instrText> HYPERLINK "https://www.planalto.gov.br/ccivil_03/leis/lcp/lcp123.htm" \l "art3"</w:instrText>
      </w:r>
      <w:r>
        <w:rPr>
          <w:rStyle w:val="LinkdaInternet"/>
          <w:sz w:val="21"/>
          <w:shd w:fill="FFFFFF" w:val="clear"/>
          <w:szCs w:val="21"/>
          <w:color w:val="000000"/>
        </w:rPr>
        <w:fldChar w:fldCharType="separate"/>
      </w:r>
      <w:r>
        <w:rPr>
          <w:rStyle w:val="LinkdaInternet"/>
          <w:color w:val="000000"/>
          <w:sz w:val="21"/>
          <w:szCs w:val="21"/>
          <w:shd w:fill="FFFFFF" w:val="clear"/>
        </w:rPr>
        <w:t>artigo 3° da Lei Complementar nº 123, de 2006</w:t>
      </w:r>
      <w:r>
        <w:rPr>
          <w:rStyle w:val="LinkdaInternet"/>
          <w:sz w:val="21"/>
          <w:shd w:fill="FFFFFF" w:val="clear"/>
          <w:szCs w:val="21"/>
          <w:color w:val="000000"/>
        </w:rPr>
        <w:fldChar w:fldCharType="end"/>
      </w:r>
      <w:r>
        <w:rPr>
          <w:color w:val="000000"/>
          <w:sz w:val="21"/>
          <w:szCs w:val="21"/>
          <w:shd w:fill="FFFFFF" w:val="clear"/>
        </w:rPr>
        <w:t xml:space="preserve">, estando apto a usufruir do tratamento favorecido estabelecido em seus </w:t>
      </w:r>
      <w:r>
        <w:fldChar w:fldCharType="begin"/>
      </w:r>
      <w:r>
        <w:rPr>
          <w:rStyle w:val="LinkdaInternet"/>
          <w:sz w:val="21"/>
          <w:shd w:fill="FFFFFF" w:val="clear"/>
          <w:szCs w:val="21"/>
          <w:color w:val="000000"/>
        </w:rPr>
        <w:instrText> HYPERLINK "https://www.planalto.gov.br/ccivil_03/leis/lcp/lcp123.htm" \l "art42"</w:instrText>
      </w:r>
      <w:r>
        <w:rPr>
          <w:rStyle w:val="LinkdaInternet"/>
          <w:sz w:val="21"/>
          <w:shd w:fill="FFFFFF" w:val="clear"/>
          <w:szCs w:val="21"/>
          <w:color w:val="000000"/>
        </w:rPr>
        <w:fldChar w:fldCharType="separate"/>
      </w:r>
      <w:bookmarkEnd w:id="23"/>
      <w:r>
        <w:rPr>
          <w:rStyle w:val="LinkdaInternet"/>
          <w:color w:val="000000"/>
          <w:sz w:val="21"/>
          <w:szCs w:val="21"/>
          <w:shd w:fill="FFFFFF" w:val="clear"/>
        </w:rPr>
        <w:t>arts. 42 a 49</w:t>
      </w:r>
      <w:r>
        <w:rPr>
          <w:rStyle w:val="LinkdaInternet"/>
          <w:sz w:val="21"/>
          <w:shd w:fill="FFFFFF" w:val="clear"/>
          <w:szCs w:val="21"/>
          <w:color w:val="000000"/>
        </w:rPr>
        <w:fldChar w:fldCharType="end"/>
      </w:r>
      <w:r>
        <w:rPr>
          <w:color w:val="000000"/>
          <w:sz w:val="21"/>
          <w:szCs w:val="21"/>
          <w:shd w:fill="FFFFFF" w:val="clear"/>
        </w:rPr>
        <w:t xml:space="preserve">, observado o disposto nos </w:t>
      </w:r>
      <w:r>
        <w:fldChar w:fldCharType="begin"/>
      </w:r>
      <w:r>
        <w:rPr>
          <w:rStyle w:val="LinkdaInternet"/>
          <w:sz w:val="21"/>
          <w:shd w:fill="FFFFFF" w:val="clear"/>
          <w:szCs w:val="21"/>
          <w:color w:val="000000"/>
        </w:rPr>
        <w:instrText> HYPERLINK "http://www.planalto.gov.br/ccivil_03/_ato2019-2022/2021/lei/L14133.htm" \l "art4§1"</w:instrText>
      </w:r>
      <w:r>
        <w:rPr>
          <w:rStyle w:val="LinkdaInternet"/>
          <w:sz w:val="21"/>
          <w:shd w:fill="FFFFFF" w:val="clear"/>
          <w:szCs w:val="21"/>
          <w:color w:val="000000"/>
        </w:rPr>
        <w:fldChar w:fldCharType="separate"/>
      </w:r>
      <w:r>
        <w:rPr>
          <w:rStyle w:val="LinkdaInternet"/>
          <w:color w:val="000000"/>
          <w:sz w:val="21"/>
          <w:szCs w:val="21"/>
          <w:shd w:fill="FFFFFF" w:val="clear"/>
        </w:rPr>
        <w:t>§§ 1º ao 3º do art. 4º, da Lei n.º 14.133, de 2021.</w:t>
      </w:r>
      <w:r>
        <w:rPr>
          <w:rStyle w:val="LinkdaInternet"/>
          <w:sz w:val="21"/>
          <w:shd w:fill="FFFFFF" w:val="clear"/>
          <w:szCs w:val="21"/>
          <w:color w:val="000000"/>
        </w:rPr>
        <w:fldChar w:fldCharType="end"/>
      </w:r>
    </w:p>
    <w:p>
      <w:pPr>
        <w:pStyle w:val="Nivel3"/>
        <w:numPr>
          <w:ilvl w:val="2"/>
          <w:numId w:val="1"/>
        </w:numPr>
        <w:tabs>
          <w:tab w:val="left" w:pos="0" w:leader="none"/>
          <w:tab w:val="left" w:pos="993" w:leader="none"/>
        </w:tabs>
        <w:ind w:left="284" w:hanging="0"/>
        <w:rPr>
          <w:color w:val="000000"/>
          <w:shd w:fill="FFFFFF" w:val="clear"/>
        </w:rPr>
      </w:pPr>
      <w:commentRangeStart w:id="11"/>
      <w:r>
        <w:rPr>
          <w:color w:val="000000"/>
          <w:sz w:val="21"/>
          <w:szCs w:val="21"/>
          <w:shd w:fill="FFFFFF" w:val="clear"/>
        </w:rPr>
        <w:t>No item exclusivo para participação de microempresas e empresas de pequeno porte, a assinalação do campo “não” impedirá o prosseguimento no certame, para aquele item;</w:t>
      </w:r>
    </w:p>
    <w:p>
      <w:pPr>
        <w:pStyle w:val="Nivel3"/>
        <w:numPr>
          <w:ilvl w:val="2"/>
          <w:numId w:val="1"/>
        </w:numPr>
        <w:tabs>
          <w:tab w:val="left" w:pos="0" w:leader="none"/>
          <w:tab w:val="left" w:pos="993" w:leader="none"/>
        </w:tabs>
        <w:ind w:left="284" w:hanging="0"/>
        <w:rPr/>
      </w:pPr>
      <w:r>
        <w:rPr>
          <w:color w:val="000000"/>
          <w:sz w:val="21"/>
          <w:szCs w:val="21"/>
          <w:shd w:fill="FFFFFF" w:val="clear"/>
        </w:rPr>
        <w:t xml:space="preserve">Nos itens em que a participação não for exclusiva para microempresas e empresas de pequeno porte, a assinalação do campo “não” apenas produzirá o efeito de o licitante não ter direito ao tratamento favorecido previsto na </w:t>
      </w:r>
      <w:hyperlink r:id="rId9">
        <w:r>
          <w:rPr>
            <w:rStyle w:val="LinkdaInternet"/>
            <w:color w:val="000000"/>
            <w:sz w:val="21"/>
            <w:szCs w:val="21"/>
            <w:shd w:fill="FFFFFF" w:val="clear"/>
          </w:rPr>
          <w:t>Lei Complementar nº 123, de 2006</w:t>
        </w:r>
      </w:hyperlink>
      <w:r>
        <w:rPr>
          <w:color w:val="000000"/>
          <w:sz w:val="21"/>
          <w:szCs w:val="21"/>
          <w:shd w:fill="FFFFFF" w:val="clear"/>
        </w:rPr>
        <w:t>, mesmo que microempresa, empresa de pequeno porte ou sociedade cooperativa.</w:t>
      </w:r>
      <w:commentRangeEnd w:id="11"/>
      <w:r>
        <w:commentReference w:id="11"/>
      </w:r>
      <w:r>
        <w:rPr>
          <w:color w:val="000000"/>
          <w:sz w:val="21"/>
          <w:szCs w:val="21"/>
          <w:shd w:fill="FFFFFF" w:val="clear"/>
        </w:rPr>
      </w:r>
    </w:p>
    <w:p>
      <w:pPr>
        <w:pStyle w:val="Nivel2"/>
        <w:numPr>
          <w:ilvl w:val="1"/>
          <w:numId w:val="1"/>
        </w:numPr>
        <w:tabs>
          <w:tab w:val="left" w:pos="0" w:leader="none"/>
          <w:tab w:val="left" w:pos="567" w:leader="none"/>
        </w:tabs>
        <w:ind w:left="0" w:hanging="0"/>
        <w:rPr/>
      </w:pPr>
      <w:r>
        <w:rPr>
          <w:color w:val="000000"/>
          <w:sz w:val="21"/>
          <w:szCs w:val="21"/>
          <w:shd w:fill="FFFFFF" w:val="clear"/>
        </w:rPr>
        <w:t xml:space="preserve">A falsidade da declaração de que trata os itens </w:t>
      </w:r>
      <w:r>
        <w:rPr>
          <w:color w:val="000000"/>
          <w:shd w:fill="FFFFFF" w:val="clear"/>
        </w:rPr>
        <w:fldChar w:fldCharType="begin"/>
      </w:r>
      <w:r>
        <w:rPr>
          <w:shd w:fill="FFFFFF" w:val="clear"/>
          <w:color w:val="000000"/>
        </w:rPr>
        <w:instrText> REF _Ref113968921 \r \h </w:instrText>
      </w:r>
      <w:r>
        <w:rPr>
          <w:shd w:fill="FFFFFF" w:val="clear"/>
          <w:color w:val="000000"/>
        </w:rPr>
        <w:fldChar w:fldCharType="separate"/>
      </w:r>
      <w:r>
        <w:rPr>
          <w:shd w:fill="FFFFFF" w:val="clear"/>
          <w:color w:val="000000"/>
        </w:rPr>
        <w:t>6.3.</w:t>
      </w:r>
      <w:r>
        <w:rPr>
          <w:shd w:fill="FFFFFF" w:val="clear"/>
          <w:color w:val="000000"/>
        </w:rPr>
        <w:fldChar w:fldCharType="end"/>
      </w:r>
      <w:r>
        <w:rPr>
          <w:color w:val="000000"/>
          <w:sz w:val="21"/>
          <w:szCs w:val="21"/>
          <w:shd w:fill="FFFFFF" w:val="clear"/>
        </w:rPr>
        <w:t xml:space="preserve"> ou </w:t>
      </w:r>
      <w:r>
        <w:rPr>
          <w:color w:val="000000"/>
          <w:shd w:fill="FFFFFF" w:val="clear"/>
        </w:rPr>
        <w:fldChar w:fldCharType="begin"/>
      </w:r>
      <w:r>
        <w:rPr>
          <w:shd w:fill="FFFFFF" w:val="clear"/>
          <w:color w:val="000000"/>
        </w:rPr>
        <w:instrText> REF _Ref117000019 \r \h </w:instrText>
      </w:r>
      <w:r>
        <w:rPr>
          <w:shd w:fill="FFFFFF" w:val="clear"/>
          <w:color w:val="000000"/>
        </w:rPr>
        <w:fldChar w:fldCharType="separate"/>
      </w:r>
      <w:r>
        <w:rPr>
          <w:shd w:fill="FFFFFF" w:val="clear"/>
          <w:color w:val="000000"/>
        </w:rPr>
        <w:t>6.5.</w:t>
      </w:r>
      <w:r>
        <w:rPr>
          <w:shd w:fill="FFFFFF" w:val="clear"/>
          <w:color w:val="000000"/>
        </w:rPr>
        <w:fldChar w:fldCharType="end"/>
      </w:r>
      <w:r>
        <w:rPr>
          <w:color w:val="000000"/>
          <w:sz w:val="21"/>
          <w:szCs w:val="21"/>
          <w:shd w:fill="FFFFFF" w:val="clear"/>
        </w:rPr>
        <w:t xml:space="preserve"> sujeitará o licitante às sanções previstas na </w:t>
      </w:r>
      <w:hyperlink r:id="rId10">
        <w:r>
          <w:rPr>
            <w:rStyle w:val="LinkdaInternet"/>
            <w:color w:val="000000"/>
            <w:sz w:val="21"/>
            <w:szCs w:val="21"/>
            <w:shd w:fill="FFFFFF" w:val="clear"/>
          </w:rPr>
          <w:t>Lei nº 14.133, de 2021</w:t>
        </w:r>
      </w:hyperlink>
      <w:r>
        <w:rPr>
          <w:color w:val="000000"/>
          <w:sz w:val="21"/>
          <w:szCs w:val="21"/>
          <w:shd w:fill="FFFFFF" w:val="clear"/>
        </w:rPr>
        <w:t>, e neste Edital.</w:t>
      </w:r>
    </w:p>
    <w:p>
      <w:pPr>
        <w:pStyle w:val="Nivel2"/>
        <w:numPr>
          <w:ilvl w:val="1"/>
          <w:numId w:val="1"/>
        </w:numPr>
        <w:tabs>
          <w:tab w:val="left" w:pos="0" w:leader="none"/>
          <w:tab w:val="left" w:pos="567" w:leader="none"/>
        </w:tabs>
        <w:ind w:left="0" w:hanging="0"/>
        <w:rPr>
          <w:sz w:val="21"/>
          <w:szCs w:val="21"/>
        </w:rPr>
      </w:pPr>
      <w:r>
        <w:rPr>
          <w:color w:val="000000"/>
          <w:sz w:val="21"/>
          <w:szCs w:val="21"/>
          <w:shd w:fill="FFFFFF" w:val="clear"/>
        </w:rPr>
        <w:t>Os licitantes poderão retirar ou substituir a proposta ou, na hipótese de a fase de habilitação anteceder as fases de apresentação de propostas e lances e de</w:t>
      </w:r>
      <w:r>
        <w:rPr>
          <w:sz w:val="21"/>
          <w:szCs w:val="21"/>
        </w:rPr>
        <w:t xml:space="preserve"> julgamento, os documentos de habilitação anteriormente inseridos no sistema, até a abertura da sessão pública.</w:t>
      </w:r>
    </w:p>
    <w:p>
      <w:pPr>
        <w:pStyle w:val="Nivel2"/>
        <w:numPr>
          <w:ilvl w:val="1"/>
          <w:numId w:val="1"/>
        </w:numPr>
        <w:tabs>
          <w:tab w:val="left" w:pos="0" w:leader="none"/>
          <w:tab w:val="left" w:pos="567" w:leader="none"/>
        </w:tabs>
        <w:ind w:left="0" w:hanging="0"/>
        <w:rPr>
          <w:sz w:val="21"/>
          <w:szCs w:val="21"/>
        </w:rPr>
      </w:pPr>
      <w:r>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tabs>
          <w:tab w:val="left" w:pos="0" w:leader="none"/>
          <w:tab w:val="left" w:pos="567" w:leader="none"/>
        </w:tabs>
        <w:ind w:left="0" w:hanging="0"/>
        <w:rPr/>
      </w:pPr>
      <w:r>
        <w:rPr/>
        <w:commentReference w:id="12"/>
      </w:r>
      <w:r>
        <w:rPr>
          <w:sz w:val="21"/>
          <w:szCs w:val="21"/>
        </w:rPr>
        <w:t>Serão disponibilizados para acesso público os documentos que compõem a proposta dos licitantes convocados para apresentação de propostas, após a fase de envio de lances.</w:t>
      </w:r>
    </w:p>
    <w:p>
      <w:pPr>
        <w:pStyle w:val="Nivel2"/>
        <w:numPr>
          <w:ilvl w:val="1"/>
          <w:numId w:val="1"/>
        </w:numPr>
        <w:tabs>
          <w:tab w:val="left" w:pos="0" w:leader="none"/>
          <w:tab w:val="left" w:pos="567" w:leader="none"/>
        </w:tabs>
        <w:spacing w:before="0" w:after="0"/>
        <w:ind w:left="0" w:hanging="0"/>
        <w:rPr>
          <w:sz w:val="21"/>
          <w:szCs w:val="21"/>
        </w:rPr>
      </w:pPr>
      <w:bookmarkStart w:id="24" w:name="_Ref116992247"/>
      <w:r>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4"/>
    </w:p>
    <w:p>
      <w:pPr>
        <w:pStyle w:val="Nivel3"/>
        <w:numPr>
          <w:ilvl w:val="2"/>
          <w:numId w:val="1"/>
        </w:numPr>
        <w:tabs>
          <w:tab w:val="left" w:pos="0" w:leader="none"/>
          <w:tab w:val="left" w:pos="993" w:leader="none"/>
        </w:tabs>
        <w:ind w:left="284" w:hanging="0"/>
        <w:rPr>
          <w:sz w:val="21"/>
          <w:szCs w:val="21"/>
        </w:rPr>
      </w:pPr>
      <w:r>
        <w:rPr>
          <w:sz w:val="21"/>
          <w:szCs w:val="21"/>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tabs>
          <w:tab w:val="left" w:pos="0" w:leader="none"/>
          <w:tab w:val="left" w:pos="709" w:leader="none"/>
          <w:tab w:val="left" w:pos="993" w:leader="none"/>
        </w:tabs>
        <w:ind w:left="284" w:hanging="0"/>
        <w:rPr/>
      </w:pPr>
      <w:commentRangeStart w:id="13"/>
      <w:r>
        <w:rPr>
          <w:sz w:val="21"/>
          <w:szCs w:val="21"/>
        </w:rPr>
        <w:t>Os lances serão de envio automático pelo sistema, respeitado o valor final mínimo, caso estabelecido, e o intervalo de que trata o subitem acima.</w:t>
      </w:r>
      <w:commentRangeEnd w:id="13"/>
      <w:r>
        <w:commentReference w:id="13"/>
      </w:r>
      <w:r>
        <w:rPr>
          <w:sz w:val="21"/>
          <w:szCs w:val="21"/>
        </w:rPr>
      </w:r>
    </w:p>
    <w:p>
      <w:pPr>
        <w:pStyle w:val="Nivel2"/>
        <w:numPr>
          <w:ilvl w:val="1"/>
          <w:numId w:val="1"/>
        </w:numPr>
        <w:tabs>
          <w:tab w:val="left" w:pos="0" w:leader="none"/>
          <w:tab w:val="left" w:pos="567" w:leader="none"/>
        </w:tabs>
        <w:ind w:left="0" w:hanging="0"/>
        <w:rPr>
          <w:sz w:val="21"/>
          <w:szCs w:val="21"/>
        </w:rPr>
      </w:pPr>
      <w:r>
        <w:rPr>
          <w:sz w:val="21"/>
          <w:szCs w:val="21"/>
        </w:rPr>
        <w:t>O valor final mínimo ou o percentual de desconto final máximo parametrizado no sistema poderá ser alterado pelo fornecedor durante a fase de disputa, sendo vedado:</w:t>
      </w:r>
    </w:p>
    <w:p>
      <w:pPr>
        <w:pStyle w:val="Nivel3"/>
        <w:numPr>
          <w:ilvl w:val="2"/>
          <w:numId w:val="1"/>
        </w:numPr>
        <w:tabs>
          <w:tab w:val="left" w:pos="0" w:leader="none"/>
          <w:tab w:val="left" w:pos="993" w:leader="none"/>
        </w:tabs>
        <w:ind w:left="284" w:hanging="0"/>
        <w:rPr>
          <w:sz w:val="21"/>
          <w:szCs w:val="21"/>
        </w:rPr>
      </w:pPr>
      <w:r>
        <w:rPr>
          <w:sz w:val="21"/>
          <w:szCs w:val="21"/>
        </w:rPr>
        <w:t>Valor superior a lance já registrado pelo fornecedor no sistema, quando adotado o crit</w:t>
      </w:r>
      <w:r>
        <w:rPr>
          <w:i w:val="false"/>
          <w:iCs w:val="false"/>
          <w:color w:val="000000"/>
          <w:sz w:val="21"/>
          <w:szCs w:val="21"/>
          <w:shd w:fill="FFFFFF" w:val="clear"/>
        </w:rPr>
        <w:t>ério de julgamento por menor preço; e</w:t>
      </w:r>
    </w:p>
    <w:p>
      <w:pPr>
        <w:pStyle w:val="Nivel2"/>
        <w:numPr>
          <w:ilvl w:val="1"/>
          <w:numId w:val="1"/>
        </w:numPr>
        <w:tabs>
          <w:tab w:val="left" w:pos="0" w:leader="none"/>
          <w:tab w:val="left" w:pos="567" w:leader="none"/>
        </w:tabs>
        <w:ind w:left="0" w:hanging="0"/>
        <w:rPr>
          <w:i w:val="false"/>
          <w:i w:val="false"/>
          <w:iCs w:val="false"/>
          <w:color w:val="000000"/>
          <w:shd w:fill="FFFFFF" w:val="clear"/>
        </w:rPr>
      </w:pPr>
      <w:r>
        <w:rPr>
          <w:i w:val="false"/>
          <w:iCs w:val="false"/>
          <w:color w:val="000000"/>
          <w:sz w:val="21"/>
          <w:szCs w:val="21"/>
          <w:shd w:fill="FFFFFF" w:val="clear"/>
        </w:rPr>
        <w:t xml:space="preserve">O valor final mínimo parametrizado na forma do item </w:t>
      </w:r>
      <w:r>
        <w:rPr>
          <w:i w:val="false"/>
          <w:iCs w:val="false"/>
          <w:color w:val="000000"/>
          <w:sz w:val="21"/>
          <w:szCs w:val="21"/>
          <w:shd w:fill="FFFFFF" w:val="clear"/>
        </w:rPr>
        <w:fldChar w:fldCharType="begin"/>
      </w:r>
      <w:r>
        <w:rPr>
          <w:sz w:val="21"/>
          <w:i w:val="false"/>
          <w:shd w:fill="FFFFFF" w:val="clear"/>
          <w:szCs w:val="21"/>
          <w:iCs w:val="false"/>
          <w:color w:val="000000"/>
        </w:rPr>
        <w:instrText> REF _Ref116992247 \r \h </w:instrText>
      </w:r>
      <w:r>
        <w:rPr>
          <w:sz w:val="21"/>
          <w:i w:val="false"/>
          <w:shd w:fill="FFFFFF" w:val="clear"/>
          <w:szCs w:val="21"/>
          <w:iCs w:val="false"/>
          <w:color w:val="000000"/>
        </w:rPr>
        <w:fldChar w:fldCharType="separate"/>
      </w:r>
      <w:r>
        <w:rPr>
          <w:sz w:val="21"/>
          <w:i w:val="false"/>
          <w:shd w:fill="FFFFFF" w:val="clear"/>
          <w:szCs w:val="21"/>
          <w:iCs w:val="false"/>
          <w:color w:val="000000"/>
        </w:rPr>
        <w:t>6.10.</w:t>
      </w:r>
      <w:r>
        <w:rPr>
          <w:sz w:val="21"/>
          <w:i w:val="false"/>
          <w:shd w:fill="FFFFFF" w:val="clear"/>
          <w:szCs w:val="21"/>
          <w:iCs w:val="false"/>
          <w:color w:val="000000"/>
        </w:rPr>
        <w:fldChar w:fldCharType="end"/>
      </w:r>
      <w:r>
        <w:rPr>
          <w:i w:val="false"/>
          <w:iCs w:val="false"/>
          <w:color w:val="000000"/>
          <w:sz w:val="21"/>
          <w:szCs w:val="21"/>
          <w:shd w:fill="FFFFFF" w:val="clea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tabs>
          <w:tab w:val="left" w:pos="0" w:leader="none"/>
          <w:tab w:val="left" w:pos="567" w:leader="none"/>
        </w:tabs>
        <w:ind w:left="0" w:hanging="0"/>
        <w:rPr>
          <w:sz w:val="21"/>
          <w:szCs w:val="21"/>
        </w:rPr>
      </w:pPr>
      <w:r>
        <w:rPr>
          <w:i w:val="false"/>
          <w:iCs w:val="false"/>
          <w:color w:val="000000"/>
          <w:sz w:val="21"/>
          <w:szCs w:val="21"/>
          <w:shd w:fill="FFFFFF" w:val="clear"/>
        </w:rPr>
        <w:t>Caberá ao licitante interessado em participar da lic</w:t>
      </w:r>
      <w:r>
        <w:rPr>
          <w:sz w:val="21"/>
          <w:szCs w:val="21"/>
        </w:rPr>
        <w:t>itação 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tabs>
          <w:tab w:val="left" w:pos="0" w:leader="none"/>
          <w:tab w:val="left" w:pos="567" w:leader="none"/>
        </w:tabs>
        <w:ind w:left="0" w:hanging="0"/>
        <w:rPr>
          <w:sz w:val="21"/>
          <w:szCs w:val="21"/>
        </w:rPr>
      </w:pPr>
      <w:r>
        <w:rPr>
          <w:sz w:val="21"/>
          <w:szCs w:val="21"/>
        </w:rPr>
        <w:t>O licitante deverá comunicar imediatamente ao provedor do sistema qualquer acontecimento que possa comprometer o sigilo ou a segurança, para imediato bloqueio de acesso.</w:t>
      </w:r>
    </w:p>
    <w:p>
      <w:pPr>
        <w:pStyle w:val="Nivel01"/>
        <w:numPr>
          <w:ilvl w:val="0"/>
          <w:numId w:val="1"/>
        </w:numPr>
        <w:spacing w:before="288" w:after="288"/>
        <w:ind w:left="0" w:right="0" w:hanging="0"/>
        <w:rPr>
          <w:sz w:val="21"/>
          <w:szCs w:val="21"/>
        </w:rPr>
      </w:pPr>
      <w:bookmarkStart w:id="25" w:name="_Toc136943934"/>
      <w:r>
        <w:rPr>
          <w:sz w:val="21"/>
          <w:szCs w:val="21"/>
        </w:rPr>
        <w:t>DO PREENCHIMENTO DA PROPOSTA</w:t>
      </w:r>
      <w:bookmarkEnd w:id="25"/>
    </w:p>
    <w:p>
      <w:pPr>
        <w:pStyle w:val="Nivel2"/>
        <w:numPr>
          <w:ilvl w:val="1"/>
          <w:numId w:val="1"/>
        </w:numPr>
        <w:tabs>
          <w:tab w:val="left" w:pos="0" w:leader="none"/>
          <w:tab w:val="left" w:pos="567" w:leader="none"/>
        </w:tabs>
        <w:ind w:left="0" w:hanging="0"/>
        <w:rPr>
          <w:sz w:val="21"/>
          <w:szCs w:val="21"/>
        </w:rPr>
      </w:pPr>
      <w:r>
        <w:rPr>
          <w:sz w:val="21"/>
          <w:szCs w:val="21"/>
        </w:rPr>
        <w:t>O licitante deverá enviar sua proposta mediante o preenchimento, no sistema eletrônico, dos seguintes campos:</w:t>
      </w:r>
    </w:p>
    <w:p>
      <w:pPr>
        <w:pStyle w:val="Nvel3R"/>
        <w:numPr>
          <w:ilvl w:val="2"/>
          <w:numId w:val="1"/>
        </w:numPr>
        <w:tabs>
          <w:tab w:val="left" w:pos="0" w:leader="none"/>
          <w:tab w:val="left" w:pos="993" w:leader="none"/>
        </w:tabs>
        <w:ind w:left="284" w:hanging="0"/>
        <w:rPr>
          <w:shd w:fill="FFFFFF" w:val="clear"/>
        </w:rPr>
      </w:pPr>
      <w:r>
        <w:rPr>
          <w:rFonts w:eastAsia="Times New Roman"/>
          <w:i w:val="false"/>
          <w:iCs w:val="false"/>
          <w:color w:val="000000"/>
          <w:sz w:val="21"/>
          <w:szCs w:val="21"/>
          <w:u w:val="single"/>
          <w:shd w:fill="FFFFFF" w:val="clear"/>
        </w:rPr>
        <w:t>valor unitário do item, em algarismo, com 2 (duas) casas decimais</w:t>
      </w:r>
      <w:r>
        <w:rPr>
          <w:rFonts w:eastAsia="Times New Roman"/>
          <w:color w:val="000000"/>
          <w:sz w:val="21"/>
          <w:szCs w:val="21"/>
          <w:shd w:fill="FFFFFF" w:val="clear"/>
        </w:rPr>
        <w:t>;</w:t>
      </w:r>
    </w:p>
    <w:p>
      <w:pPr>
        <w:pStyle w:val="Nivel3"/>
        <w:numPr>
          <w:ilvl w:val="2"/>
          <w:numId w:val="1"/>
        </w:numPr>
        <w:tabs>
          <w:tab w:val="left" w:pos="0" w:leader="none"/>
          <w:tab w:val="left" w:pos="993" w:leader="none"/>
        </w:tabs>
        <w:ind w:left="284" w:hanging="0"/>
        <w:rPr>
          <w:sz w:val="21"/>
          <w:szCs w:val="21"/>
        </w:rPr>
      </w:pPr>
      <w:r>
        <w:rPr>
          <w:sz w:val="21"/>
          <w:szCs w:val="21"/>
        </w:rPr>
        <w:t>Quantidade cotada.</w:t>
      </w:r>
    </w:p>
    <w:p>
      <w:pPr>
        <w:pStyle w:val="Nivel2"/>
        <w:numPr>
          <w:ilvl w:val="1"/>
          <w:numId w:val="1"/>
        </w:numPr>
        <w:tabs>
          <w:tab w:val="left" w:pos="0" w:leader="none"/>
          <w:tab w:val="left" w:pos="567" w:leader="none"/>
        </w:tabs>
        <w:ind w:left="0" w:hanging="0"/>
        <w:rPr>
          <w:sz w:val="21"/>
          <w:szCs w:val="21"/>
        </w:rPr>
      </w:pPr>
      <w:r>
        <w:rPr>
          <w:sz w:val="21"/>
          <w:szCs w:val="21"/>
        </w:rPr>
        <w:t>Todas as especificações do objeto contidas na proposta vinculam o licitante.</w:t>
      </w:r>
    </w:p>
    <w:p>
      <w:pPr>
        <w:pStyle w:val="Nivel3"/>
        <w:numPr>
          <w:ilvl w:val="2"/>
          <w:numId w:val="1"/>
        </w:numPr>
        <w:tabs>
          <w:tab w:val="left" w:pos="0" w:leader="none"/>
          <w:tab w:val="left" w:pos="993" w:leader="none"/>
        </w:tabs>
        <w:ind w:left="284" w:hanging="0"/>
        <w:rPr/>
      </w:pPr>
      <w:r>
        <w:rPr>
          <w:rStyle w:val="Normaltextrun"/>
          <w:sz w:val="21"/>
          <w:szCs w:val="21"/>
        </w:rPr>
        <w:t>O licitante NÃO poderá oferecer proposta em quantitativo inferior ao máximo previsto para contratação.</w:t>
      </w:r>
    </w:p>
    <w:p>
      <w:pPr>
        <w:pStyle w:val="Nivel3"/>
        <w:numPr>
          <w:ilvl w:val="2"/>
          <w:numId w:val="1"/>
        </w:numPr>
        <w:tabs>
          <w:tab w:val="left" w:pos="0" w:leader="none"/>
          <w:tab w:val="left" w:pos="993" w:leader="none"/>
        </w:tabs>
        <w:ind w:left="284" w:hanging="0"/>
        <w:rPr/>
      </w:pPr>
      <w:r>
        <w:rPr>
          <w:rStyle w:val="Normaltextrun"/>
          <w:sz w:val="21"/>
          <w:szCs w:val="21"/>
        </w:rPr>
        <w:t>Quando o descritivo cadastrado no COMPRASGOV não corresponder ao especificado no Edital, o fornecedor deverá considerar apenas o disposto no Edital – ANEXO II.</w:t>
      </w:r>
    </w:p>
    <w:p>
      <w:pPr>
        <w:pStyle w:val="Nivel2"/>
        <w:numPr>
          <w:ilvl w:val="1"/>
          <w:numId w:val="1"/>
        </w:numPr>
        <w:tabs>
          <w:tab w:val="left" w:pos="0" w:leader="none"/>
          <w:tab w:val="left" w:pos="567" w:leader="none"/>
        </w:tabs>
        <w:ind w:left="0" w:hanging="0"/>
        <w:rPr>
          <w:sz w:val="21"/>
          <w:szCs w:val="21"/>
        </w:rPr>
      </w:pPr>
      <w:r>
        <w:rPr>
          <w:sz w:val="21"/>
          <w:szCs w:val="21"/>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tabs>
          <w:tab w:val="left" w:pos="0" w:leader="none"/>
          <w:tab w:val="left" w:pos="567" w:leader="none"/>
        </w:tabs>
        <w:ind w:left="0" w:hanging="0"/>
        <w:rPr>
          <w:sz w:val="21"/>
          <w:szCs w:val="21"/>
        </w:rPr>
      </w:pPr>
      <w:r>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tabs>
          <w:tab w:val="left" w:pos="0" w:leader="none"/>
          <w:tab w:val="left" w:pos="567" w:leader="none"/>
        </w:tabs>
        <w:ind w:left="0" w:hanging="0"/>
        <w:rPr>
          <w:sz w:val="21"/>
          <w:szCs w:val="21"/>
        </w:rPr>
      </w:pPr>
      <w:r>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tabs>
          <w:tab w:val="left" w:pos="0" w:leader="none"/>
          <w:tab w:val="left" w:pos="993" w:leader="none"/>
        </w:tabs>
        <w:ind w:left="284" w:hanging="0"/>
        <w:rPr/>
      </w:pPr>
      <w:commentRangeStart w:id="14"/>
      <w:r>
        <w:rPr>
          <w:sz w:val="21"/>
          <w:szCs w:val="21"/>
        </w:rPr>
        <w:t>O prazo de validade da proposta não será in</w:t>
      </w:r>
      <w:r>
        <w:rPr>
          <w:i w:val="false"/>
          <w:iCs w:val="false"/>
          <w:color w:val="000000"/>
          <w:sz w:val="21"/>
          <w:szCs w:val="21"/>
        </w:rPr>
        <w:t xml:space="preserve">ferior a </w:t>
      </w:r>
      <w:r>
        <w:rPr>
          <w:b/>
          <w:bCs/>
          <w:i w:val="false"/>
          <w:iCs w:val="false"/>
          <w:color w:val="000000"/>
          <w:sz w:val="21"/>
          <w:szCs w:val="21"/>
        </w:rPr>
        <w:t xml:space="preserve">90 (noventa) </w:t>
      </w:r>
      <w:r>
        <w:rPr>
          <w:i w:val="false"/>
          <w:iCs w:val="false"/>
          <w:color w:val="000000"/>
          <w:sz w:val="21"/>
          <w:szCs w:val="21"/>
        </w:rPr>
        <w:t>di</w:t>
      </w:r>
      <w:r>
        <w:rPr>
          <w:sz w:val="21"/>
          <w:szCs w:val="21"/>
        </w:rPr>
        <w:t>as</w:t>
      </w:r>
      <w:r>
        <w:rPr>
          <w:b/>
          <w:sz w:val="21"/>
          <w:szCs w:val="21"/>
        </w:rPr>
        <w:t>,</w:t>
      </w:r>
      <w:r>
        <w:rPr>
          <w:sz w:val="21"/>
          <w:szCs w:val="21"/>
        </w:rPr>
        <w:t xml:space="preserve"> a contar da data de sua apresentação.</w:t>
      </w:r>
      <w:commentRangeEnd w:id="14"/>
      <w:r>
        <w:commentReference w:id="14"/>
      </w:r>
      <w:r>
        <w:rPr>
          <w:sz w:val="21"/>
          <w:szCs w:val="21"/>
        </w:rPr>
      </w:r>
    </w:p>
    <w:p>
      <w:pPr>
        <w:pStyle w:val="Nivel3"/>
        <w:numPr>
          <w:ilvl w:val="2"/>
          <w:numId w:val="1"/>
        </w:numPr>
        <w:tabs>
          <w:tab w:val="left" w:pos="0" w:leader="none"/>
          <w:tab w:val="left" w:pos="993" w:leader="none"/>
        </w:tabs>
        <w:ind w:left="284" w:hanging="0"/>
        <w:rPr>
          <w:sz w:val="21"/>
          <w:szCs w:val="21"/>
        </w:rPr>
      </w:pPr>
      <w:r>
        <w:rPr>
          <w:sz w:val="21"/>
          <w:szCs w:val="21"/>
        </w:rPr>
        <w:t>Os licitantes devem respeitar os preços máximos estabelecidos nas normas de regência de contratações públicas federais, quando participarem de licitações públicas;</w:t>
      </w:r>
    </w:p>
    <w:p>
      <w:pPr>
        <w:pStyle w:val="Nivel3"/>
        <w:numPr>
          <w:ilvl w:val="2"/>
          <w:numId w:val="1"/>
        </w:numPr>
        <w:tabs>
          <w:tab w:val="left" w:pos="0" w:leader="none"/>
          <w:tab w:val="left" w:pos="993" w:leader="none"/>
        </w:tabs>
        <w:ind w:left="284" w:hanging="0"/>
        <w:rPr/>
      </w:pPr>
      <w:r>
        <w:rPr>
          <w:sz w:val="21"/>
          <w:szCs w:val="21"/>
        </w:rPr>
        <w:t>Caso o critério de julgamento seja o de maior desconto, o preço já decorrente da aplicação do desconto ofertado deverá respeitar os preços máximos previstos.</w:t>
      </w:r>
    </w:p>
    <w:p>
      <w:pPr>
        <w:pStyle w:val="Nivel2"/>
        <w:numPr>
          <w:ilvl w:val="1"/>
          <w:numId w:val="1"/>
        </w:numPr>
        <w:tabs>
          <w:tab w:val="left" w:pos="0" w:leader="none"/>
          <w:tab w:val="left" w:pos="567" w:leader="none"/>
        </w:tabs>
        <w:ind w:left="0" w:hanging="0"/>
        <w:rPr/>
      </w:pPr>
      <w:r>
        <w:rPr>
          <w:sz w:val="21"/>
          <w:szCs w:val="21"/>
        </w:rPr>
        <w:t xml:space="preserve">O descumprimento das regras supramencionadas pela Administração por parte dos contratados pode ensejar a responsabilização </w:t>
      </w:r>
      <w:r>
        <w:rPr>
          <w:sz w:val="21"/>
          <w:szCs w:val="21"/>
          <w:shd w:fill="FFFFFF" w:val="clear"/>
        </w:rPr>
        <w:t xml:space="preserve">pelo </w:t>
      </w:r>
      <w:r>
        <w:rPr>
          <w:color w:val="000000"/>
          <w:sz w:val="21"/>
          <w:szCs w:val="21"/>
          <w:shd w:fill="FFFFFF" w:val="clear"/>
        </w:rPr>
        <w:t>Município</w:t>
      </w:r>
      <w:r>
        <w:rPr>
          <w:sz w:val="21"/>
          <w:szCs w:val="21"/>
          <w:shd w:fill="FFFFFF" w:val="clear"/>
        </w:rPr>
        <w:t>, após o devido processo legal, gerar as seguintes consequências: assinatura de prazo para a adoção das medidas necessárias ao exato cumprimento da lei, nos termos</w:t>
      </w:r>
      <w:r>
        <w:rPr>
          <w:color w:val="000000"/>
          <w:sz w:val="21"/>
          <w:szCs w:val="21"/>
          <w:shd w:fill="FFFFFF" w:val="clear"/>
        </w:rPr>
        <w:t xml:space="preserve"> do </w:t>
      </w:r>
      <w:hyperlink r:id="rId11">
        <w:r>
          <w:rPr>
            <w:rStyle w:val="LinkdaInternet"/>
            <w:color w:val="000000"/>
            <w:sz w:val="21"/>
            <w:szCs w:val="21"/>
            <w:shd w:fill="FFFFFF" w:val="clear"/>
          </w:rPr>
          <w:t>art. 71, inciso IX, da Constituição</w:t>
        </w:r>
      </w:hyperlink>
      <w:r>
        <w:rPr>
          <w:color w:val="000000"/>
          <w:sz w:val="21"/>
          <w:szCs w:val="21"/>
          <w:shd w:fill="FFFFFF" w:val="clear"/>
        </w:rPr>
        <w:t>; o</w:t>
      </w:r>
      <w:r>
        <w:rPr>
          <w:sz w:val="21"/>
          <w:szCs w:val="21"/>
          <w:shd w:fill="FFFFFF" w:val="clear"/>
        </w:rPr>
        <w:t>u condenação dos agentes públicos responsáveis e da empresa contratada ao pagamento dos pre</w:t>
      </w:r>
      <w:r>
        <w:rPr>
          <w:sz w:val="21"/>
          <w:szCs w:val="21"/>
        </w:rPr>
        <w:t>juízos ao erário, caso verificada a ocorrência de superfaturamento por sobrepreço na execução do contrato.</w:t>
      </w:r>
    </w:p>
    <w:p>
      <w:pPr>
        <w:pStyle w:val="Nivel01"/>
        <w:numPr>
          <w:ilvl w:val="0"/>
          <w:numId w:val="1"/>
        </w:numPr>
        <w:spacing w:before="288" w:after="288"/>
        <w:ind w:left="0" w:right="0" w:hanging="0"/>
        <w:rPr>
          <w:sz w:val="21"/>
          <w:szCs w:val="21"/>
        </w:rPr>
      </w:pPr>
      <w:bookmarkStart w:id="26" w:name="_Toc136943935"/>
      <w:r>
        <w:rPr>
          <w:sz w:val="21"/>
          <w:szCs w:val="21"/>
        </w:rPr>
        <w:t>DA ABERTURA DA SESSÃO, CLASSIFICAÇÃO DAS PROPOSTAS E FORMULAÇÃO DE LANCES</w:t>
      </w:r>
      <w:bookmarkEnd w:id="26"/>
    </w:p>
    <w:p>
      <w:pPr>
        <w:pStyle w:val="Nivel2"/>
        <w:numPr>
          <w:ilvl w:val="1"/>
          <w:numId w:val="1"/>
        </w:numPr>
        <w:tabs>
          <w:tab w:val="left" w:pos="0" w:leader="none"/>
          <w:tab w:val="left" w:pos="567" w:leader="none"/>
        </w:tabs>
        <w:ind w:left="0" w:hanging="0"/>
        <w:rPr>
          <w:sz w:val="21"/>
          <w:szCs w:val="21"/>
        </w:rPr>
      </w:pPr>
      <w:r>
        <w:rPr>
          <w:sz w:val="21"/>
          <w:szCs w:val="21"/>
        </w:rPr>
        <w:t>A abertura da presente licitação dar-se-á automaticamente em sessão pública, por meio de sistema eletrônico, na data, horário e local indicados neste Edital.</w:t>
      </w:r>
    </w:p>
    <w:p>
      <w:pPr>
        <w:pStyle w:val="Nivel2"/>
        <w:numPr>
          <w:ilvl w:val="1"/>
          <w:numId w:val="1"/>
        </w:numPr>
        <w:tabs>
          <w:tab w:val="left" w:pos="0" w:leader="none"/>
          <w:tab w:val="left" w:pos="567" w:leader="none"/>
        </w:tabs>
        <w:ind w:left="0" w:hanging="0"/>
        <w:rPr>
          <w:sz w:val="21"/>
          <w:szCs w:val="21"/>
        </w:rPr>
      </w:pPr>
      <w:r>
        <w:rPr>
          <w:sz w:val="21"/>
          <w:szCs w:val="21"/>
        </w:rPr>
        <w:t>Os licitantes poderão retirar ou substituir a proposta ou os documentos de habilitação, quando for o caso, anteriormente inseridos no sistema, até a abertura da sessão pública.</w:t>
      </w:r>
    </w:p>
    <w:p>
      <w:pPr>
        <w:pStyle w:val="Nivel2"/>
        <w:numPr>
          <w:ilvl w:val="1"/>
          <w:numId w:val="1"/>
        </w:numPr>
        <w:tabs>
          <w:tab w:val="left" w:pos="0" w:leader="none"/>
          <w:tab w:val="left" w:pos="567" w:leader="none"/>
        </w:tabs>
        <w:ind w:left="0" w:hanging="0"/>
        <w:rPr>
          <w:sz w:val="21"/>
          <w:szCs w:val="21"/>
        </w:rPr>
      </w:pPr>
      <w:r>
        <w:rPr>
          <w:sz w:val="21"/>
          <w:szCs w:val="21"/>
        </w:rPr>
        <w:t>O sistema disponibilizará campo próprio para troca de mensagens entre o Pregoeiro e os licitantes.</w:t>
      </w:r>
    </w:p>
    <w:p>
      <w:pPr>
        <w:pStyle w:val="Nivel2"/>
        <w:numPr>
          <w:ilvl w:val="1"/>
          <w:numId w:val="1"/>
        </w:numPr>
        <w:tabs>
          <w:tab w:val="left" w:pos="0" w:leader="none"/>
          <w:tab w:val="left" w:pos="567" w:leader="none"/>
        </w:tabs>
        <w:ind w:left="0" w:hanging="0"/>
        <w:rPr>
          <w:sz w:val="21"/>
          <w:szCs w:val="21"/>
        </w:rPr>
      </w:pPr>
      <w:r>
        <w:rPr>
          <w:sz w:val="21"/>
          <w:szCs w:val="21"/>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color w:val="000000"/>
          <w:shd w:fill="FFFFFF" w:val="clear"/>
        </w:rPr>
      </w:pPr>
      <w:r>
        <w:rPr>
          <w:color w:val="000000"/>
          <w:sz w:val="21"/>
          <w:szCs w:val="21"/>
          <w:shd w:fill="FFFFFF" w:val="clear"/>
        </w:rPr>
        <w:t xml:space="preserve">O lance deverá ser ofertado pelo valor unitário do </w:t>
      </w:r>
      <w:commentRangeStart w:id="15"/>
      <w:r>
        <w:rPr>
          <w:color w:val="000000"/>
          <w:sz w:val="21"/>
          <w:szCs w:val="21"/>
          <w:shd w:fill="FFFFFF" w:val="clear"/>
        </w:rPr>
        <w:t>item</w:t>
      </w:r>
      <w:r>
        <w:rPr>
          <w:color w:val="000000"/>
          <w:sz w:val="21"/>
          <w:szCs w:val="21"/>
          <w:shd w:fill="FFFFFF" w:val="clear"/>
        </w:rPr>
      </w:r>
      <w:commentRangeEnd w:id="15"/>
      <w:r>
        <w:commentReference w:id="15"/>
      </w:r>
      <w:r>
        <w:rPr>
          <w:color w:val="000000"/>
          <w:sz w:val="21"/>
          <w:szCs w:val="21"/>
          <w:shd w:fill="FFFFFF" w:val="clear"/>
        </w:rPr>
        <w:t xml:space="preserve"> </w:t>
      </w:r>
      <w:r>
        <w:rPr>
          <w:rFonts w:eastAsia="Times New Roman"/>
          <w:color w:val="000000"/>
          <w:sz w:val="21"/>
          <w:szCs w:val="21"/>
          <w:shd w:fill="FFFFFF" w:val="clear"/>
        </w:rPr>
        <w:t>em algarismo com 2 (duas) casas decimais.</w:t>
      </w:r>
    </w:p>
    <w:p>
      <w:pPr>
        <w:pStyle w:val="Nivel2"/>
        <w:numPr>
          <w:ilvl w:val="1"/>
          <w:numId w:val="1"/>
        </w:numPr>
        <w:ind w:left="0" w:hanging="0"/>
        <w:rPr>
          <w:sz w:val="21"/>
          <w:szCs w:val="21"/>
        </w:rPr>
      </w:pPr>
      <w:r>
        <w:rPr>
          <w:sz w:val="21"/>
          <w:szCs w:val="21"/>
        </w:rPr>
        <w:t>Os licitantes poderão oferecer lances sucessivos, observando o horário fixado para abertura da sessão e as regras estabelecidas no Edital.</w:t>
      </w:r>
    </w:p>
    <w:p>
      <w:pPr>
        <w:pStyle w:val="Nivel2"/>
        <w:numPr>
          <w:ilvl w:val="1"/>
          <w:numId w:val="1"/>
        </w:numPr>
        <w:ind w:left="0" w:hanging="0"/>
        <w:rPr/>
      </w:pPr>
      <w:r>
        <w:rPr>
          <w:sz w:val="21"/>
          <w:szCs w:val="21"/>
        </w:rPr>
        <w:t>O licitante somente poderá oferecer lan</w:t>
      </w:r>
      <w:r>
        <w:rPr>
          <w:i w:val="false"/>
          <w:iCs w:val="false"/>
          <w:color w:val="000000"/>
          <w:sz w:val="21"/>
          <w:szCs w:val="21"/>
        </w:rPr>
        <w:t>ce de valor inferior a</w:t>
      </w:r>
      <w:r>
        <w:rPr>
          <w:sz w:val="21"/>
          <w:szCs w:val="21"/>
        </w:rPr>
        <w:t xml:space="preserve">o último por ele ofertado e registrado pelo sistema. </w:t>
      </w:r>
    </w:p>
    <w:p>
      <w:pPr>
        <w:pStyle w:val="Nivel2"/>
        <w:numPr>
          <w:ilvl w:val="1"/>
          <w:numId w:val="1"/>
        </w:numPr>
        <w:ind w:left="0" w:hanging="0"/>
        <w:rPr>
          <w:i w:val="false"/>
          <w:i w:val="false"/>
          <w:iCs w:val="false"/>
          <w:color w:val="000000"/>
        </w:rPr>
      </w:pPr>
      <w:r>
        <w:rPr>
          <w:i w:val="false"/>
          <w:iCs w:val="false"/>
          <w:color w:val="000000"/>
          <w:sz w:val="21"/>
          <w:szCs w:val="21"/>
        </w:rPr>
        <w:t xml:space="preserve">O intervalo mínimo de diferença de valores ou percentuais entre os lances, que incidirá tanto em relação aos lances intermediários quanto em relação à proposta que cobrir a melhor oferta deverá ser de </w:t>
      </w:r>
      <w:r>
        <w:rPr>
          <w:i w:val="false"/>
          <w:iCs w:val="false"/>
          <w:color w:val="000000"/>
          <w:sz w:val="21"/>
          <w:szCs w:val="21"/>
          <w:u w:val="single"/>
        </w:rPr>
        <w:t>R$ 0,10</w:t>
      </w:r>
      <w:r>
        <w:rPr>
          <w:i w:val="false"/>
          <w:iCs w:val="false"/>
          <w:color w:val="000000"/>
          <w:sz w:val="21"/>
          <w:szCs w:val="21"/>
        </w:rPr>
        <w:t xml:space="preserve"> (dez centavos de real).</w:t>
      </w:r>
    </w:p>
    <w:p>
      <w:pPr>
        <w:pStyle w:val="Nivel2"/>
        <w:numPr>
          <w:ilvl w:val="1"/>
          <w:numId w:val="1"/>
        </w:numPr>
        <w:ind w:left="0" w:hanging="0"/>
        <w:rPr>
          <w:sz w:val="21"/>
          <w:szCs w:val="21"/>
        </w:rPr>
      </w:pPr>
      <w:r>
        <w:rPr>
          <w:i w:val="false"/>
          <w:iCs w:val="false"/>
          <w:color w:val="000000"/>
          <w:sz w:val="21"/>
          <w:szCs w:val="21"/>
        </w:rPr>
        <w:t>O licitante poderá, uma única vez, excluir seu últi</w:t>
      </w:r>
      <w:r>
        <w:rPr>
          <w:sz w:val="21"/>
          <w:szCs w:val="21"/>
        </w:rPr>
        <w:t>mo lance ofertado, no intervalo de quinze segund</w:t>
      </w:r>
      <w:r>
        <w:rPr>
          <w:sz w:val="21"/>
          <w:szCs w:val="21"/>
          <w:shd w:fill="FFFFFF" w:val="clear"/>
        </w:rPr>
        <w:t>os após o registro no sistema, na hipótese de lance inconsistente ou inexequível.</w:t>
      </w:r>
    </w:p>
    <w:p>
      <w:pPr>
        <w:pStyle w:val="Nivel2"/>
        <w:numPr>
          <w:ilvl w:val="1"/>
          <w:numId w:val="1"/>
        </w:numPr>
        <w:ind w:left="0" w:hanging="0"/>
        <w:rPr>
          <w:shd w:fill="FFFFFF" w:val="clear"/>
        </w:rPr>
      </w:pPr>
      <w:commentRangeStart w:id="16"/>
      <w:r>
        <w:rPr>
          <w:sz w:val="21"/>
          <w:szCs w:val="21"/>
          <w:shd w:fill="FFFFFF" w:val="clear"/>
        </w:rPr>
        <w:t>O procedimento seguirá o modo de disputa:</w:t>
      </w:r>
      <w:commentRangeEnd w:id="16"/>
      <w:r>
        <w:commentReference w:id="16"/>
      </w:r>
      <w:r>
        <w:rPr>
          <w:sz w:val="21"/>
          <w:szCs w:val="21"/>
          <w:shd w:fill="FFFFFF" w:val="clear"/>
        </w:rPr>
      </w:r>
    </w:p>
    <w:p>
      <w:pPr>
        <w:pStyle w:val="Nivel2"/>
        <w:numPr>
          <w:ilvl w:val="1"/>
          <w:numId w:val="1"/>
        </w:numPr>
        <w:tabs>
          <w:tab w:val="left" w:pos="0" w:leader="none"/>
          <w:tab w:val="left" w:pos="709" w:leader="none"/>
        </w:tabs>
        <w:ind w:left="0" w:hanging="0"/>
        <w:rPr>
          <w:shd w:fill="FFFFFF" w:val="clear"/>
        </w:rPr>
      </w:pPr>
      <w:bookmarkStart w:id="27" w:name="_Hlk113697759"/>
      <w:bookmarkEnd w:id="27"/>
      <w:r>
        <w:rPr>
          <w:sz w:val="21"/>
          <w:szCs w:val="21"/>
          <w:shd w:fill="FFFFFF" w:val="clear"/>
        </w:rPr>
        <w:t>“</w:t>
      </w:r>
      <w:r>
        <w:rPr>
          <w:b/>
          <w:sz w:val="21"/>
          <w:szCs w:val="21"/>
          <w:u w:val="single"/>
          <w:shd w:fill="FFFFFF" w:val="clear"/>
        </w:rPr>
        <w:t>ABERTO</w:t>
      </w:r>
      <w:r>
        <w:rPr>
          <w:sz w:val="21"/>
          <w:szCs w:val="21"/>
          <w:shd w:fill="FFFFFF" w:val="clear"/>
        </w:rPr>
        <w:t>”, sendo que neste modo de disputa os licitantes apresentarão lances públicos e sucessivos, com prorrogações.</w:t>
      </w:r>
    </w:p>
    <w:p>
      <w:pPr>
        <w:pStyle w:val="Nivel3"/>
        <w:numPr>
          <w:ilvl w:val="2"/>
          <w:numId w:val="1"/>
        </w:numPr>
        <w:tabs>
          <w:tab w:val="left" w:pos="0" w:leader="none"/>
          <w:tab w:val="left" w:pos="1134" w:leader="none"/>
        </w:tabs>
        <w:ind w:left="284" w:hanging="0"/>
        <w:rPr>
          <w:shd w:fill="FFFFFF" w:val="clear"/>
        </w:rPr>
      </w:pPr>
      <w:bookmarkStart w:id="28" w:name="_Hlk1136977591"/>
      <w:bookmarkEnd w:id="28"/>
      <w:r>
        <w:rPr>
          <w:sz w:val="21"/>
          <w:szCs w:val="21"/>
          <w:shd w:fill="FFFFFF" w:val="clea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tabs>
          <w:tab w:val="left" w:pos="0" w:leader="none"/>
          <w:tab w:val="left" w:pos="1134" w:leader="none"/>
        </w:tabs>
        <w:ind w:left="284" w:hanging="0"/>
        <w:rPr>
          <w:shd w:fill="FFFFFF" w:val="clear"/>
        </w:rPr>
      </w:pPr>
      <w:bookmarkStart w:id="29" w:name="_Hlk113697816"/>
      <w:r>
        <w:rPr>
          <w:sz w:val="21"/>
          <w:szCs w:val="21"/>
          <w:shd w:fill="FFFFFF" w:val="clear"/>
        </w:rPr>
        <w:t>Após o reinício previsto no item supra, os licitantes serão convocados para apresentar lances intermediários.</w:t>
      </w:r>
      <w:bookmarkEnd w:id="29"/>
    </w:p>
    <w:p>
      <w:pPr>
        <w:pStyle w:val="Nivel2"/>
        <w:numPr>
          <w:ilvl w:val="1"/>
          <w:numId w:val="1"/>
        </w:numPr>
        <w:ind w:left="0" w:hanging="0"/>
        <w:rPr>
          <w:sz w:val="21"/>
          <w:szCs w:val="21"/>
        </w:rPr>
      </w:pPr>
      <w:r>
        <w:rPr>
          <w:sz w:val="21"/>
          <w:szCs w:val="21"/>
        </w:rPr>
        <w:t>Após o término dos prazos estabelecidos nos subitens anteriores, o sistema ordenará e divulgará os lances segundo a ordem crescente de valores.</w:t>
      </w:r>
    </w:p>
    <w:p>
      <w:pPr>
        <w:pStyle w:val="Nivel2"/>
        <w:numPr>
          <w:ilvl w:val="1"/>
          <w:numId w:val="1"/>
        </w:numPr>
        <w:ind w:left="0" w:hanging="0"/>
        <w:rPr>
          <w:sz w:val="21"/>
          <w:szCs w:val="21"/>
        </w:rPr>
      </w:pPr>
      <w:r>
        <w:rPr>
          <w:sz w:val="21"/>
          <w:szCs w:val="21"/>
        </w:rPr>
        <w:t xml:space="preserve">Não serão aceitos dois ou mais lances de mesmo valor, prevalecendo aquele que for recebido e registrado em primeiro lugar. </w:t>
      </w:r>
    </w:p>
    <w:p>
      <w:pPr>
        <w:pStyle w:val="Nivel2"/>
        <w:numPr>
          <w:ilvl w:val="1"/>
          <w:numId w:val="1"/>
        </w:numPr>
        <w:ind w:left="0" w:hanging="0"/>
        <w:rPr>
          <w:sz w:val="21"/>
          <w:szCs w:val="21"/>
        </w:rPr>
      </w:pPr>
      <w:r>
        <w:rPr>
          <w:sz w:val="21"/>
          <w:szCs w:val="21"/>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sz w:val="21"/>
          <w:szCs w:val="21"/>
        </w:rPr>
      </w:pPr>
      <w:r>
        <w:rPr>
          <w:sz w:val="21"/>
          <w:szCs w:val="21"/>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sz w:val="21"/>
          <w:szCs w:val="21"/>
        </w:rPr>
      </w:pPr>
      <w:r>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sz w:val="21"/>
          <w:szCs w:val="21"/>
        </w:rPr>
      </w:pPr>
      <w:r>
        <w:rPr>
          <w:sz w:val="21"/>
          <w:szCs w:val="21"/>
        </w:rPr>
        <w:t>Caso o licitante não apresente lances, concorrerá com o valor de sua proposta.</w:t>
      </w:r>
    </w:p>
    <w:p>
      <w:pPr>
        <w:pStyle w:val="Nivel2"/>
        <w:numPr>
          <w:ilvl w:val="1"/>
          <w:numId w:val="1"/>
        </w:numPr>
        <w:ind w:left="0" w:hanging="0"/>
        <w:rPr/>
      </w:pPr>
      <w:r>
        <w:rPr>
          <w:sz w:val="21"/>
          <w:szCs w:val="21"/>
        </w:rPr>
        <w:t>Em relação a itens não exclusivos para participação de microempresas e empresas de pequeno porte, uma vez encerrada a etapa de lances</w:t>
      </w:r>
      <w:r>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Pr>
          <w:sz w:val="21"/>
          <w:szCs w:val="21"/>
        </w:rPr>
        <w:t>participantes</w:t>
      </w:r>
      <w:r>
        <w:rPr>
          <w:rFonts w:eastAsia="Zurich BT"/>
          <w:sz w:val="21"/>
          <w:szCs w:val="21"/>
        </w:rPr>
        <w:t>, procedendo à comparação com os valores da primeira colocada, se esta for empresa de maior porte, assim como das demais classificada</w:t>
      </w:r>
      <w:r>
        <w:rPr>
          <w:rFonts w:eastAsia="Zurich BT"/>
          <w:color w:val="000000"/>
          <w:sz w:val="21"/>
          <w:szCs w:val="21"/>
        </w:rPr>
        <w:t xml:space="preserve">s, para o fim de aplicar-se o disposto nos </w:t>
      </w:r>
      <w:r>
        <w:fldChar w:fldCharType="begin"/>
      </w:r>
      <w:r>
        <w:rPr>
          <w:rStyle w:val="LinkdaInternet"/>
          <w:sz w:val="21"/>
          <w:szCs w:val="21"/>
          <w:rFonts w:eastAsia="Zurich BT"/>
          <w:color w:val="000000"/>
        </w:rPr>
        <w:instrText> HYPERLINK "https://www.planalto.gov.br/ccivil_03/leis/lcp/lcp123.htm" \l "art44"</w:instrText>
      </w:r>
      <w:r>
        <w:rPr>
          <w:rStyle w:val="LinkdaInternet"/>
          <w:sz w:val="21"/>
          <w:szCs w:val="21"/>
          <w:rFonts w:eastAsia="Zurich BT"/>
          <w:color w:val="000000"/>
        </w:rPr>
        <w:fldChar w:fldCharType="separate"/>
      </w:r>
      <w:r>
        <w:rPr>
          <w:rStyle w:val="LinkdaInternet"/>
          <w:rFonts w:eastAsia="Zurich BT"/>
          <w:color w:val="000000"/>
          <w:sz w:val="21"/>
          <w:szCs w:val="21"/>
        </w:rPr>
        <w:t>arts. 44 e 45 da Lei Complementar nº 123, de 2006</w:t>
      </w:r>
      <w:r>
        <w:rPr>
          <w:rStyle w:val="LinkdaInternet"/>
          <w:sz w:val="21"/>
          <w:szCs w:val="21"/>
          <w:rFonts w:eastAsia="Zurich BT"/>
          <w:color w:val="000000"/>
        </w:rPr>
        <w:fldChar w:fldCharType="end"/>
      </w:r>
      <w:r>
        <w:rPr>
          <w:rFonts w:eastAsia="Zurich BT"/>
          <w:color w:val="000000"/>
          <w:sz w:val="21"/>
          <w:szCs w:val="21"/>
        </w:rPr>
        <w:t xml:space="preserve">, regulamentada pelo </w:t>
      </w:r>
      <w:hyperlink r:id="rId12">
        <w:r>
          <w:rPr>
            <w:rStyle w:val="LinkdaInternet"/>
            <w:rFonts w:eastAsia="Zurich BT"/>
            <w:color w:val="000000"/>
            <w:sz w:val="21"/>
            <w:szCs w:val="21"/>
          </w:rPr>
          <w:t>Decreto nº 8.538, de 2015</w:t>
        </w:r>
      </w:hyperlink>
      <w:r>
        <w:rPr>
          <w:rFonts w:eastAsia="Zurich BT"/>
          <w:color w:val="000000"/>
          <w:sz w:val="21"/>
          <w:szCs w:val="21"/>
        </w:rPr>
        <w:t>.</w:t>
      </w:r>
    </w:p>
    <w:p>
      <w:pPr>
        <w:pStyle w:val="Nivel3"/>
        <w:numPr>
          <w:ilvl w:val="2"/>
          <w:numId w:val="1"/>
        </w:numPr>
        <w:tabs>
          <w:tab w:val="left" w:pos="0" w:leader="none"/>
          <w:tab w:val="left" w:pos="1134" w:leader="none"/>
        </w:tabs>
        <w:ind w:left="284" w:hanging="0"/>
        <w:rPr>
          <w:color w:val="000000"/>
        </w:rPr>
      </w:pPr>
      <w:r>
        <w:rPr>
          <w:color w:val="000000"/>
          <w:sz w:val="21"/>
          <w:szCs w:val="21"/>
        </w:rPr>
        <w:t xml:space="preserve">Nessas condições, as propostas de </w:t>
      </w:r>
      <w:r>
        <w:rPr>
          <w:rFonts w:eastAsia="Zurich BT"/>
          <w:color w:val="000000"/>
          <w:sz w:val="21"/>
          <w:szCs w:val="21"/>
        </w:rPr>
        <w:t xml:space="preserve">microempresas e empresas de pequeno porte </w:t>
      </w:r>
      <w:r>
        <w:rPr>
          <w:color w:val="000000"/>
          <w:sz w:val="21"/>
          <w:szCs w:val="21"/>
        </w:rPr>
        <w:t>que se encontrarem na faixa de até 5% (cinco por cento) acima da melhor proposta ou melhor lance serão consideradas empatadas com a primeira colocada.</w:t>
      </w:r>
    </w:p>
    <w:p>
      <w:pPr>
        <w:pStyle w:val="Nivel3"/>
        <w:numPr>
          <w:ilvl w:val="2"/>
          <w:numId w:val="1"/>
        </w:numPr>
        <w:tabs>
          <w:tab w:val="left" w:pos="0" w:leader="none"/>
          <w:tab w:val="left" w:pos="1134" w:leader="none"/>
        </w:tabs>
        <w:ind w:left="284" w:hanging="0"/>
        <w:rPr>
          <w:sz w:val="21"/>
          <w:szCs w:val="21"/>
        </w:rPr>
      </w:pPr>
      <w:r>
        <w:rPr>
          <w:color w:val="000000"/>
          <w:sz w:val="21"/>
          <w:szCs w:val="21"/>
        </w:rPr>
        <w:t>A melhor classificada nos termos do subitem anterior terá o direito de encaminhar uma última oferta para desempate, obrigatoriamente em valor inferior ao da primeira colocada, no prazo de 5 (cinco) minutos co</w:t>
      </w:r>
      <w:r>
        <w:rPr>
          <w:sz w:val="21"/>
          <w:szCs w:val="21"/>
        </w:rPr>
        <w:t>ntrolados pelo sistema, contados após a comunicação automática para tanto.</w:t>
      </w:r>
    </w:p>
    <w:p>
      <w:pPr>
        <w:pStyle w:val="Nivel3"/>
        <w:numPr>
          <w:ilvl w:val="2"/>
          <w:numId w:val="1"/>
        </w:numPr>
        <w:tabs>
          <w:tab w:val="left" w:pos="0" w:leader="none"/>
          <w:tab w:val="left" w:pos="1134" w:leader="none"/>
        </w:tabs>
        <w:ind w:left="284" w:hanging="0"/>
        <w:rPr/>
      </w:pPr>
      <w:r>
        <w:rPr>
          <w:sz w:val="21"/>
          <w:szCs w:val="21"/>
        </w:rPr>
        <w:t xml:space="preserve">Caso a </w:t>
      </w:r>
      <w:r>
        <w:rPr>
          <w:rFonts w:eastAsia="Zurich BT"/>
          <w:sz w:val="21"/>
          <w:szCs w:val="21"/>
        </w:rPr>
        <w:t>microempresa ou a empresa de pequeno porte</w:t>
      </w:r>
      <w:r>
        <w:rPr>
          <w:sz w:val="21"/>
          <w:szCs w:val="21"/>
        </w:rPr>
        <w:t xml:space="preserve"> melhor classificada desista ou não se manifeste no prazo estabelecido, serão convocadas as demais licitantes </w:t>
      </w:r>
      <w:r>
        <w:rPr>
          <w:rFonts w:eastAsia="Zurich BT"/>
          <w:sz w:val="21"/>
          <w:szCs w:val="21"/>
        </w:rPr>
        <w:t>microempresa e empresa de pequeno porte</w:t>
      </w:r>
      <w:r>
        <w:rPr>
          <w:sz w:val="21"/>
          <w:szCs w:val="21"/>
        </w:rPr>
        <w:t xml:space="preserve"> que se encontrem naquele intervalo de 5% (cinco por cento), na ordem de classificação, para o exercício do mesmo direito, no prazo estabelecido no subitem anterior.</w:t>
      </w:r>
    </w:p>
    <w:p>
      <w:pPr>
        <w:pStyle w:val="Nivel3"/>
        <w:numPr>
          <w:ilvl w:val="2"/>
          <w:numId w:val="1"/>
        </w:numPr>
        <w:tabs>
          <w:tab w:val="left" w:pos="0" w:leader="none"/>
          <w:tab w:val="left" w:pos="1134" w:leader="none"/>
        </w:tabs>
        <w:ind w:left="284" w:hanging="0"/>
        <w:rPr/>
      </w:pPr>
      <w:r>
        <w:rPr>
          <w:sz w:val="21"/>
          <w:szCs w:val="21"/>
        </w:rPr>
        <w:t>No caso de equivalência dos valores apresentados pelas microempresas e empresas de pequeno porte que se encontrem nos intervalos estabelecidos nos subitens anteriores, será realizado s</w:t>
      </w:r>
      <w:r>
        <w:rPr>
          <w:sz w:val="21"/>
          <w:szCs w:val="21"/>
          <w:shd w:fill="FFFFFF" w:val="clear"/>
        </w:rPr>
        <w:t>orteio entre elas para que se identifique aquela que primeiro poderá apresentar melhor oferta.</w:t>
      </w:r>
    </w:p>
    <w:p>
      <w:pPr>
        <w:pStyle w:val="Nivel2"/>
        <w:numPr>
          <w:ilvl w:val="1"/>
          <w:numId w:val="1"/>
        </w:numPr>
        <w:ind w:left="0" w:hanging="0"/>
        <w:rPr>
          <w:shd w:fill="FFFFFF" w:val="clear"/>
        </w:rPr>
      </w:pPr>
      <w:r>
        <w:rPr>
          <w:sz w:val="21"/>
          <w:szCs w:val="21"/>
          <w:shd w:fill="FFFFFF" w:val="clear"/>
        </w:rPr>
        <w:t xml:space="preserve">Só poderá haver empate entre propostas iguais (não seguidas de lances),  ou entre lances finais da fase fechada do modo de disputa aberto e fechado. </w:t>
      </w:r>
    </w:p>
    <w:p>
      <w:pPr>
        <w:pStyle w:val="Nivel3"/>
        <w:numPr>
          <w:ilvl w:val="2"/>
          <w:numId w:val="1"/>
        </w:numPr>
        <w:tabs>
          <w:tab w:val="left" w:pos="0" w:leader="none"/>
          <w:tab w:val="left" w:pos="1134" w:leader="none"/>
        </w:tabs>
        <w:ind w:left="284" w:hanging="0"/>
        <w:rPr/>
      </w:pPr>
      <w:r>
        <w:rPr>
          <w:sz w:val="21"/>
          <w:szCs w:val="21"/>
        </w:rPr>
        <w:t>Havendo eventua</w:t>
      </w:r>
      <w:r>
        <w:rPr>
          <w:color w:val="000000"/>
          <w:sz w:val="21"/>
          <w:szCs w:val="21"/>
        </w:rPr>
        <w:t xml:space="preserve">l empate entre propostas ou lances, o critério de desempate será aquele previsto no </w:t>
      </w:r>
      <w:r>
        <w:fldChar w:fldCharType="begin"/>
      </w:r>
      <w:r>
        <w:rPr>
          <w:rStyle w:val="LinkdaInternet"/>
          <w:sz w:val="21"/>
          <w:szCs w:val="21"/>
          <w:rFonts w:eastAsia="Arial"/>
          <w:color w:val="000000"/>
        </w:rPr>
        <w:instrText> HYPERLINK "http://www.planalto.gov.br/ccivil_03/_ato2019-2022/2021/lei/L14133.htm" \l "art60"</w:instrText>
      </w:r>
      <w:r>
        <w:rPr>
          <w:rStyle w:val="LinkdaInternet"/>
          <w:sz w:val="21"/>
          <w:szCs w:val="21"/>
          <w:rFonts w:eastAsia="Arial"/>
          <w:color w:val="000000"/>
        </w:rPr>
        <w:fldChar w:fldCharType="separate"/>
      </w:r>
      <w:r>
        <w:rPr>
          <w:rStyle w:val="LinkdaInternet"/>
          <w:rFonts w:eastAsia="Arial"/>
          <w:color w:val="000000"/>
          <w:sz w:val="21"/>
          <w:szCs w:val="21"/>
        </w:rPr>
        <w:t>art</w:t>
      </w:r>
      <w:r>
        <w:rPr>
          <w:rStyle w:val="LinkdaInternet"/>
          <w:sz w:val="21"/>
          <w:szCs w:val="21"/>
          <w:rFonts w:eastAsia="Arial"/>
          <w:color w:val="000000"/>
        </w:rPr>
        <w:fldChar w:fldCharType="end"/>
      </w:r>
      <w:r>
        <w:rPr>
          <w:rStyle w:val="LinkdaInternet"/>
          <w:color w:val="000000"/>
          <w:sz w:val="21"/>
          <w:szCs w:val="21"/>
        </w:rPr>
        <w:t>. 60 da Lei nº 14.133, de 2021</w:t>
      </w:r>
      <w:r>
        <w:rPr>
          <w:color w:val="000000"/>
          <w:sz w:val="21"/>
          <w:szCs w:val="21"/>
        </w:rPr>
        <w:t>, nesta ordem:</w:t>
      </w:r>
    </w:p>
    <w:p>
      <w:pPr>
        <w:pStyle w:val="Nivel4"/>
        <w:numPr>
          <w:ilvl w:val="3"/>
          <w:numId w:val="1"/>
        </w:numPr>
        <w:tabs>
          <w:tab w:val="left" w:pos="0" w:leader="none"/>
          <w:tab w:val="left" w:pos="1701" w:leader="none"/>
        </w:tabs>
        <w:ind w:left="567" w:hanging="0"/>
        <w:rPr>
          <w:color w:val="000000"/>
        </w:rPr>
      </w:pPr>
      <w:r>
        <w:rPr>
          <w:color w:val="000000"/>
          <w:sz w:val="21"/>
          <w:szCs w:val="21"/>
        </w:rPr>
        <w:t>Disputa final, hipótese em que os licitantes empatados poderão apresentar nova proposta em ato contínuo à classificação;</w:t>
      </w:r>
    </w:p>
    <w:p>
      <w:pPr>
        <w:pStyle w:val="Nivel4"/>
        <w:numPr>
          <w:ilvl w:val="3"/>
          <w:numId w:val="1"/>
        </w:numPr>
        <w:tabs>
          <w:tab w:val="left" w:pos="0" w:leader="none"/>
          <w:tab w:val="left" w:pos="1701" w:leader="none"/>
        </w:tabs>
        <w:ind w:left="567" w:hanging="0"/>
        <w:rPr>
          <w:sz w:val="21"/>
          <w:szCs w:val="21"/>
        </w:rPr>
      </w:pPr>
      <w:r>
        <w:rPr>
          <w:color w:val="000000"/>
          <w:sz w:val="21"/>
          <w:szCs w:val="21"/>
        </w:rPr>
        <w:t>Avaliação do desemp</w:t>
      </w:r>
      <w:r>
        <w:rPr>
          <w:sz w:val="21"/>
          <w:szCs w:val="21"/>
        </w:rPr>
        <w:t>enho contratual prévio dos licitantes, para a qual deverão preferencialmente ser utilizados registros cadastrais para efeito de atesto de cumprimento de obrigações previstos nesta Lei;</w:t>
      </w:r>
    </w:p>
    <w:p>
      <w:pPr>
        <w:pStyle w:val="Nivel4"/>
        <w:numPr>
          <w:ilvl w:val="3"/>
          <w:numId w:val="1"/>
        </w:numPr>
        <w:tabs>
          <w:tab w:val="left" w:pos="0" w:leader="none"/>
          <w:tab w:val="left" w:pos="1701" w:leader="none"/>
        </w:tabs>
        <w:ind w:left="567" w:hanging="0"/>
        <w:rPr>
          <w:sz w:val="21"/>
          <w:szCs w:val="21"/>
        </w:rPr>
      </w:pPr>
      <w:r>
        <w:rPr>
          <w:sz w:val="21"/>
          <w:szCs w:val="21"/>
        </w:rPr>
        <w:t>Desenvolvimento pelo licitante de ações de equidade entre homens e mulheres no ambiente de trabalho, conforme regulamento;</w:t>
      </w:r>
    </w:p>
    <w:p>
      <w:pPr>
        <w:pStyle w:val="Nivel4"/>
        <w:numPr>
          <w:ilvl w:val="3"/>
          <w:numId w:val="1"/>
        </w:numPr>
        <w:tabs>
          <w:tab w:val="left" w:pos="0" w:leader="none"/>
          <w:tab w:val="left" w:pos="1701" w:leader="none"/>
        </w:tabs>
        <w:ind w:left="567" w:hanging="0"/>
        <w:rPr>
          <w:sz w:val="21"/>
          <w:szCs w:val="21"/>
        </w:rPr>
      </w:pPr>
      <w:r>
        <w:rPr>
          <w:sz w:val="21"/>
          <w:szCs w:val="21"/>
        </w:rPr>
        <w:t>Desenvolvimento pelo licitante de programa de integridade, conforme orientações dos órgãos de controle.</w:t>
      </w:r>
    </w:p>
    <w:p>
      <w:pPr>
        <w:pStyle w:val="Nivel3"/>
        <w:numPr>
          <w:ilvl w:val="2"/>
          <w:numId w:val="1"/>
        </w:numPr>
        <w:tabs>
          <w:tab w:val="left" w:pos="0" w:leader="none"/>
          <w:tab w:val="left" w:pos="1134" w:leader="none"/>
        </w:tabs>
        <w:ind w:left="284" w:hanging="0"/>
        <w:rPr>
          <w:sz w:val="21"/>
          <w:szCs w:val="21"/>
        </w:rPr>
      </w:pPr>
      <w:r>
        <w:rPr>
          <w:sz w:val="21"/>
          <w:szCs w:val="21"/>
        </w:rPr>
        <w:t>Persistindo o empate, será assegurada preferência, sucessivamente, aos bens e serviços produzidos ou prestados por:</w:t>
      </w:r>
    </w:p>
    <w:p>
      <w:pPr>
        <w:pStyle w:val="Nivel4"/>
        <w:numPr>
          <w:ilvl w:val="3"/>
          <w:numId w:val="1"/>
        </w:numPr>
        <w:tabs>
          <w:tab w:val="left" w:pos="0" w:leader="none"/>
          <w:tab w:val="left" w:pos="1701" w:leader="none"/>
        </w:tabs>
        <w:ind w:left="567" w:hanging="0"/>
        <w:rPr>
          <w:sz w:val="21"/>
          <w:szCs w:val="21"/>
        </w:rPr>
      </w:pPr>
      <w:bookmarkStart w:id="30" w:name="art60§1i"/>
      <w:bookmarkEnd w:id="30"/>
      <w:r>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tabs>
          <w:tab w:val="left" w:pos="0" w:leader="none"/>
          <w:tab w:val="left" w:pos="1701" w:leader="none"/>
        </w:tabs>
        <w:ind w:left="567" w:hanging="0"/>
        <w:rPr>
          <w:sz w:val="21"/>
          <w:szCs w:val="21"/>
        </w:rPr>
      </w:pPr>
      <w:bookmarkStart w:id="31" w:name="art60§1ii"/>
      <w:bookmarkEnd w:id="31"/>
      <w:r>
        <w:rPr>
          <w:sz w:val="21"/>
          <w:szCs w:val="21"/>
        </w:rPr>
        <w:t>Empresas brasileiras;</w:t>
      </w:r>
    </w:p>
    <w:p>
      <w:pPr>
        <w:pStyle w:val="Nivel4"/>
        <w:numPr>
          <w:ilvl w:val="3"/>
          <w:numId w:val="1"/>
        </w:numPr>
        <w:tabs>
          <w:tab w:val="left" w:pos="0" w:leader="none"/>
          <w:tab w:val="left" w:pos="1701" w:leader="none"/>
        </w:tabs>
        <w:ind w:left="567" w:hanging="0"/>
        <w:rPr>
          <w:sz w:val="21"/>
          <w:szCs w:val="21"/>
        </w:rPr>
      </w:pPr>
      <w:bookmarkStart w:id="32" w:name="art60§1iii"/>
      <w:bookmarkEnd w:id="32"/>
      <w:r>
        <w:rPr>
          <w:sz w:val="21"/>
          <w:szCs w:val="21"/>
        </w:rPr>
        <w:t>Empresas que invistam em pesquisa e no desenvolvimento de tecnologia no País;</w:t>
      </w:r>
    </w:p>
    <w:p>
      <w:pPr>
        <w:pStyle w:val="Nivel4"/>
        <w:numPr>
          <w:ilvl w:val="3"/>
          <w:numId w:val="1"/>
        </w:numPr>
        <w:tabs>
          <w:tab w:val="left" w:pos="0" w:leader="none"/>
          <w:tab w:val="left" w:pos="1134" w:leader="none"/>
          <w:tab w:val="left" w:pos="1701" w:leader="none"/>
        </w:tabs>
        <w:ind w:left="567" w:hanging="0"/>
        <w:rPr/>
      </w:pPr>
      <w:bookmarkStart w:id="33" w:name="art60§1iv"/>
      <w:bookmarkEnd w:id="33"/>
      <w:r>
        <w:rPr>
          <w:color w:val="000000"/>
          <w:sz w:val="21"/>
          <w:szCs w:val="21"/>
        </w:rPr>
        <w:t xml:space="preserve">Empresas que comprovem a prática de mitigação, nos termos da </w:t>
      </w:r>
      <w:r>
        <w:fldChar w:fldCharType="begin"/>
      </w:r>
      <w:r>
        <w:rPr>
          <w:rStyle w:val="LinkdaInternet"/>
          <w:sz w:val="21"/>
          <w:szCs w:val="21"/>
          <w:color w:val="000000"/>
        </w:rPr>
        <w:instrText> HYPERLINK "https://www.planalto.gov.br/ccivil_03/_ato2007-2010/2009/lei/l12187.htm" \l ":~:text=LEI Nº 12.187%2C DE 29 DE DEZEMBRO DE 2009.&amp;text=Institui a Política Nacional sobre,PNMC e dá outras providências."</w:instrText>
      </w:r>
      <w:r>
        <w:rPr>
          <w:rStyle w:val="LinkdaInternet"/>
          <w:sz w:val="21"/>
          <w:szCs w:val="21"/>
          <w:color w:val="000000"/>
        </w:rPr>
        <w:fldChar w:fldCharType="separate"/>
      </w:r>
      <w:r>
        <w:rPr>
          <w:rStyle w:val="LinkdaInternet"/>
          <w:color w:val="000000"/>
          <w:sz w:val="21"/>
          <w:szCs w:val="21"/>
        </w:rPr>
        <w:t>Lei nº 12.187, de 29 de dezembro de 2009</w:t>
      </w:r>
      <w:r>
        <w:rPr>
          <w:rStyle w:val="LinkdaInternet"/>
          <w:sz w:val="21"/>
          <w:szCs w:val="21"/>
          <w:color w:val="000000"/>
        </w:rPr>
        <w:fldChar w:fldCharType="end"/>
      </w:r>
      <w:r>
        <w:rPr>
          <w:color w:val="000000"/>
          <w:sz w:val="21"/>
          <w:szCs w:val="21"/>
        </w:rPr>
        <w:t>.</w:t>
      </w:r>
    </w:p>
    <w:p>
      <w:pPr>
        <w:pStyle w:val="Nivel2"/>
        <w:numPr>
          <w:ilvl w:val="1"/>
          <w:numId w:val="1"/>
        </w:numPr>
        <w:ind w:left="0" w:hanging="0"/>
        <w:rPr>
          <w:sz w:val="21"/>
          <w:szCs w:val="21"/>
        </w:rPr>
      </w:pPr>
      <w:r>
        <w:rPr>
          <w:color w:val="000000"/>
          <w:sz w:val="21"/>
          <w:szCs w:val="21"/>
        </w:rPr>
        <w:t>Encerrada a etapa de e</w:t>
      </w:r>
      <w:r>
        <w:rPr>
          <w:sz w:val="21"/>
          <w:szCs w:val="21"/>
        </w:rPr>
        <w:t>nvio de lances da sessão pública, na hipótese da proposta do primeiro colocado permanecer acima do preço máximo ou inferior ao desconto definido para a contratação, o pregoeiro poderá negociar condições mais vantajosas, após definido o resultado do julgament</w:t>
      </w:r>
      <w:r>
        <w:rPr>
          <w:i w:val="false"/>
          <w:iCs w:val="false"/>
          <w:color w:val="000000"/>
          <w:sz w:val="21"/>
          <w:szCs w:val="21"/>
          <w:shd w:fill="FFFFFF" w:val="clear"/>
        </w:rPr>
        <w:t>o.</w:t>
      </w:r>
    </w:p>
    <w:p>
      <w:pPr>
        <w:pStyle w:val="Nvel3R"/>
        <w:numPr>
          <w:ilvl w:val="2"/>
          <w:numId w:val="1"/>
        </w:numPr>
        <w:tabs>
          <w:tab w:val="left" w:pos="0" w:leader="none"/>
          <w:tab w:val="left" w:pos="1134" w:leader="none"/>
        </w:tabs>
        <w:ind w:left="284" w:hanging="0"/>
        <w:rPr>
          <w:i w:val="false"/>
          <w:i w:val="false"/>
          <w:iCs w:val="false"/>
          <w:color w:val="000000"/>
          <w:shd w:fill="FFFFFF" w:val="clear"/>
        </w:rPr>
      </w:pPr>
      <w:r>
        <w:rPr>
          <w:i w:val="false"/>
          <w:iCs w:val="false"/>
          <w:color w:val="000000"/>
          <w:sz w:val="21"/>
          <w:szCs w:val="21"/>
          <w:shd w:fill="FFFFFF" w:val="clear"/>
        </w:rPr>
        <w:t>Não será admitida a previsão de preços diferentes em razão de local de entrega ou de acondicionamento, tamanho de lote ou qualquer outro motivo.</w:t>
      </w:r>
    </w:p>
    <w:p>
      <w:pPr>
        <w:pStyle w:val="Nivel3"/>
        <w:numPr>
          <w:ilvl w:val="2"/>
          <w:numId w:val="1"/>
        </w:numPr>
        <w:tabs>
          <w:tab w:val="left" w:pos="0" w:leader="none"/>
          <w:tab w:val="left" w:pos="1134" w:leader="none"/>
        </w:tabs>
        <w:ind w:left="284" w:hanging="0"/>
        <w:rPr>
          <w:sz w:val="21"/>
          <w:szCs w:val="21"/>
        </w:rPr>
      </w:pPr>
      <w:r>
        <w:rPr>
          <w:i w:val="false"/>
          <w:iCs w:val="false"/>
          <w:color w:val="000000"/>
          <w:sz w:val="21"/>
          <w:szCs w:val="21"/>
          <w:shd w:fill="FFFFFF" w:val="clear"/>
        </w:rPr>
        <w:t>A negociação poderá ser feita com os demais licitantes, segundo a ordem de classificação inicialmente estabele</w:t>
      </w:r>
      <w:r>
        <w:rPr>
          <w:sz w:val="21"/>
          <w:szCs w:val="21"/>
        </w:rPr>
        <w:t>cida, quando o primeiro colocado, mesmo após a negociação, for desclassificado em razão de sua proposta permanecer acima do preço máximo definido pela Administração.</w:t>
      </w:r>
    </w:p>
    <w:p>
      <w:pPr>
        <w:pStyle w:val="Nivel3"/>
        <w:numPr>
          <w:ilvl w:val="2"/>
          <w:numId w:val="1"/>
        </w:numPr>
        <w:tabs>
          <w:tab w:val="left" w:pos="0" w:leader="none"/>
          <w:tab w:val="left" w:pos="1134" w:leader="none"/>
        </w:tabs>
        <w:ind w:left="284" w:hanging="0"/>
        <w:rPr>
          <w:sz w:val="21"/>
          <w:szCs w:val="21"/>
        </w:rPr>
      </w:pPr>
      <w:r>
        <w:rPr>
          <w:sz w:val="21"/>
          <w:szCs w:val="21"/>
        </w:rPr>
        <w:t>A negociação será realizada por meio do sistema, podendo ser acompanhada pelos demais licitantes.</w:t>
      </w:r>
    </w:p>
    <w:p>
      <w:pPr>
        <w:pStyle w:val="Nivel3"/>
        <w:numPr>
          <w:ilvl w:val="2"/>
          <w:numId w:val="1"/>
        </w:numPr>
        <w:tabs>
          <w:tab w:val="left" w:pos="0" w:leader="none"/>
          <w:tab w:val="left" w:pos="1134" w:leader="none"/>
        </w:tabs>
        <w:ind w:left="284" w:hanging="0"/>
        <w:rPr>
          <w:sz w:val="21"/>
          <w:szCs w:val="21"/>
        </w:rPr>
      </w:pPr>
      <w:r>
        <w:rPr>
          <w:sz w:val="21"/>
          <w:szCs w:val="21"/>
        </w:rPr>
        <w:t>O resultado da negociação será divulgado a todos os licitantes e anexado aos autos do processo licitatório.</w:t>
      </w:r>
    </w:p>
    <w:p>
      <w:pPr>
        <w:pStyle w:val="Nivel3"/>
        <w:numPr>
          <w:ilvl w:val="2"/>
          <w:numId w:val="1"/>
        </w:numPr>
        <w:tabs>
          <w:tab w:val="left" w:pos="0" w:leader="none"/>
          <w:tab w:val="left" w:pos="1134" w:leader="none"/>
        </w:tabs>
        <w:ind w:left="284" w:hanging="0"/>
        <w:rPr/>
      </w:pPr>
      <w:commentRangeStart w:id="17"/>
      <w:r>
        <w:rPr>
          <w:color w:val="000000"/>
          <w:sz w:val="21"/>
          <w:szCs w:val="21"/>
        </w:rPr>
        <w:t>O pregoeiro solicitará ao licitante mais bem classificado que, no prazo mínimo de 02 (duas) horas, envie a proposta adequada ao último lance ofertado após a negociação realiza</w:t>
      </w:r>
      <w:r>
        <w:rPr>
          <w:sz w:val="21"/>
          <w:szCs w:val="21"/>
        </w:rPr>
        <w:t>da, acompanhada, se for o caso, dos documentos complementares, quando necessários à confirmação daqueles exigidos neste Edital.</w:t>
      </w:r>
      <w:bookmarkStart w:id="34" w:name="_Hlk117016948"/>
      <w:bookmarkEnd w:id="34"/>
      <w:commentRangeEnd w:id="17"/>
      <w:r>
        <w:commentReference w:id="17"/>
      </w:r>
      <w:r>
        <w:rPr>
          <w:sz w:val="21"/>
          <w:szCs w:val="21"/>
        </w:rPr>
      </w:r>
    </w:p>
    <w:p>
      <w:pPr>
        <w:pStyle w:val="Nivel3"/>
        <w:numPr>
          <w:ilvl w:val="2"/>
          <w:numId w:val="1"/>
        </w:numPr>
        <w:tabs>
          <w:tab w:val="left" w:pos="0" w:leader="none"/>
          <w:tab w:val="left" w:pos="1134" w:leader="none"/>
        </w:tabs>
        <w:ind w:left="284" w:hanging="0"/>
        <w:rPr>
          <w:sz w:val="21"/>
          <w:szCs w:val="21"/>
        </w:rPr>
      </w:pPr>
      <w:r>
        <w:rPr>
          <w:sz w:val="21"/>
          <w:szCs w:val="21"/>
        </w:rPr>
        <w:t>É facultado ao pregoeiro prorrogar o prazo estabelecido, a partir de solicitação fundamentada feita no chat pelo licitante, antes de findo o prazo.</w:t>
      </w:r>
    </w:p>
    <w:p>
      <w:pPr>
        <w:pStyle w:val="Nivel2"/>
        <w:numPr>
          <w:ilvl w:val="1"/>
          <w:numId w:val="1"/>
        </w:numPr>
        <w:ind w:left="0" w:hanging="0"/>
        <w:rPr>
          <w:sz w:val="21"/>
          <w:szCs w:val="21"/>
        </w:rPr>
      </w:pPr>
      <w:bookmarkStart w:id="35" w:name="_Hlk114646655"/>
      <w:r>
        <w:rPr>
          <w:sz w:val="21"/>
          <w:szCs w:val="21"/>
        </w:rPr>
        <w:t>Após a negociação do preço, o Pregoeiro iniciará a fase de aceitação e julgamento da proposta.</w:t>
      </w:r>
      <w:bookmarkEnd w:id="35"/>
    </w:p>
    <w:p>
      <w:pPr>
        <w:pStyle w:val="Nivel01"/>
        <w:numPr>
          <w:ilvl w:val="0"/>
          <w:numId w:val="1"/>
        </w:numPr>
        <w:spacing w:before="288" w:after="288"/>
        <w:ind w:left="0" w:right="0" w:hanging="0"/>
        <w:rPr>
          <w:sz w:val="21"/>
          <w:szCs w:val="21"/>
        </w:rPr>
      </w:pPr>
      <w:bookmarkStart w:id="36" w:name="_Toc136943936"/>
      <w:r>
        <w:rPr>
          <w:sz w:val="21"/>
          <w:szCs w:val="21"/>
        </w:rPr>
        <w:t>DA FASE DE JULGAMENTO</w:t>
      </w:r>
      <w:bookmarkEnd w:id="36"/>
    </w:p>
    <w:p>
      <w:pPr>
        <w:pStyle w:val="Nivel2"/>
        <w:numPr>
          <w:ilvl w:val="1"/>
          <w:numId w:val="1"/>
        </w:numPr>
        <w:ind w:left="0" w:hanging="0"/>
        <w:rPr/>
      </w:pPr>
      <w:bookmarkStart w:id="37" w:name="_Ref117019424"/>
      <w:r>
        <w:rPr>
          <w:sz w:val="21"/>
          <w:szCs w:val="21"/>
        </w:rPr>
        <w:t>Encerrada a etapa de negociação, o pr</w:t>
      </w:r>
      <w:r>
        <w:rPr>
          <w:sz w:val="21"/>
          <w:szCs w:val="21"/>
          <w:shd w:fill="FFFFFF" w:val="clear"/>
        </w:rPr>
        <w:t>egoeiro verificará se o licitante provisoriamente c</w:t>
      </w:r>
      <w:r>
        <w:rPr>
          <w:color w:val="000000"/>
          <w:sz w:val="21"/>
          <w:szCs w:val="21"/>
          <w:shd w:fill="FFFFFF" w:val="clear"/>
        </w:rPr>
        <w:t xml:space="preserve">lassificado em primeiro lugar atende às condições de participação no certame, conforme previsto no </w:t>
      </w:r>
      <w:r>
        <w:fldChar w:fldCharType="begin"/>
      </w:r>
      <w:r>
        <w:rPr>
          <w:rStyle w:val="LinkdaInternet"/>
          <w:sz w:val="21"/>
          <w:shd w:fill="FFFFFF" w:val="clear"/>
          <w:szCs w:val="21"/>
          <w:color w:val="000000"/>
        </w:rPr>
        <w:instrText> HYPERLINK "http://www.planalto.gov.br/ccivil_03/_ato2019-2022/2021/lei/L14133.htm" \l "art14"</w:instrText>
      </w:r>
      <w:r>
        <w:rPr>
          <w:rStyle w:val="LinkdaInternet"/>
          <w:sz w:val="21"/>
          <w:shd w:fill="FFFFFF" w:val="clear"/>
          <w:szCs w:val="21"/>
          <w:color w:val="000000"/>
        </w:rPr>
        <w:fldChar w:fldCharType="separate"/>
      </w:r>
      <w:r>
        <w:rPr>
          <w:rStyle w:val="LinkdaInternet"/>
          <w:color w:val="000000"/>
          <w:sz w:val="21"/>
          <w:szCs w:val="21"/>
          <w:shd w:fill="FFFFFF" w:val="clear"/>
        </w:rPr>
        <w:t>art. 14 da Lei nº 14.133/2021</w:t>
      </w:r>
      <w:r>
        <w:rPr>
          <w:rStyle w:val="LinkdaInternet"/>
          <w:sz w:val="21"/>
          <w:shd w:fill="FFFFFF" w:val="clear"/>
          <w:szCs w:val="21"/>
          <w:color w:val="000000"/>
        </w:rPr>
        <w:fldChar w:fldCharType="end"/>
      </w:r>
      <w:r>
        <w:rPr>
          <w:color w:val="000000"/>
          <w:sz w:val="21"/>
          <w:szCs w:val="21"/>
          <w:shd w:fill="FFFFFF" w:val="clear"/>
        </w:rPr>
        <w:t xml:space="preserve">, legislação correlata e no item </w:t>
      </w:r>
      <w:r>
        <w:rPr>
          <w:color w:val="000000"/>
          <w:sz w:val="21"/>
          <w:szCs w:val="21"/>
          <w:shd w:fill="FFFFFF" w:val="clear"/>
        </w:rPr>
        <w:fldChar w:fldCharType="begin"/>
      </w:r>
      <w:r>
        <w:rPr>
          <w:sz w:val="21"/>
          <w:shd w:fill="FFFFFF" w:val="clear"/>
          <w:szCs w:val="21"/>
          <w:color w:val="000000"/>
        </w:rPr>
        <w:instrText> REF _Ref117000692 \r \h </w:instrText>
      </w:r>
      <w:r>
        <w:rPr>
          <w:sz w:val="21"/>
          <w:shd w:fill="FFFFFF" w:val="clear"/>
          <w:szCs w:val="21"/>
          <w:color w:val="000000"/>
        </w:rPr>
        <w:fldChar w:fldCharType="separate"/>
      </w:r>
      <w:r>
        <w:rPr>
          <w:sz w:val="21"/>
          <w:shd w:fill="FFFFFF" w:val="clear"/>
          <w:szCs w:val="21"/>
          <w:color w:val="000000"/>
        </w:rPr>
        <w:t>4.6.</w:t>
      </w:r>
      <w:r>
        <w:rPr>
          <w:sz w:val="21"/>
          <w:shd w:fill="FFFFFF" w:val="clear"/>
          <w:szCs w:val="21"/>
          <w:color w:val="000000"/>
        </w:rPr>
        <w:fldChar w:fldCharType="end"/>
      </w:r>
      <w:r>
        <w:rPr>
          <w:color w:val="000000"/>
          <w:sz w:val="21"/>
          <w:szCs w:val="21"/>
          <w:shd w:fill="FFFFFF" w:val="clear"/>
        </w:rPr>
        <w:t xml:space="preserve"> do edital, </w:t>
      </w:r>
      <w:bookmarkEnd w:id="37"/>
      <w:r>
        <w:rPr>
          <w:color w:val="000000"/>
          <w:sz w:val="21"/>
          <w:szCs w:val="21"/>
          <w:shd w:fill="FFFFFF" w:val="clear"/>
          <w:lang w:eastAsia="ar-SA"/>
        </w:rPr>
        <w:t>especialmente quanto à existência de sanção que impeça a participação no certame ou a futura contratação, mediante a consulta aos seguintes cadastros:</w:t>
      </w:r>
    </w:p>
    <w:p>
      <w:pPr>
        <w:pStyle w:val="Nivel3"/>
        <w:numPr>
          <w:ilvl w:val="2"/>
          <w:numId w:val="1"/>
        </w:numPr>
        <w:tabs>
          <w:tab w:val="left" w:pos="0" w:leader="none"/>
          <w:tab w:val="left" w:pos="1134" w:leader="none"/>
        </w:tabs>
        <w:ind w:left="284" w:hanging="0"/>
        <w:rPr>
          <w:color w:val="000000"/>
        </w:rPr>
      </w:pPr>
      <w:commentRangeStart w:id="18"/>
      <w:r>
        <w:rPr>
          <w:color w:val="000000"/>
          <w:sz w:val="21"/>
          <w:szCs w:val="21"/>
          <w:lang w:eastAsia="ar-SA"/>
        </w:rPr>
        <w:t xml:space="preserve">SICAF;  </w:t>
      </w:r>
    </w:p>
    <w:p>
      <w:pPr>
        <w:pStyle w:val="Nivel3"/>
        <w:numPr>
          <w:ilvl w:val="2"/>
          <w:numId w:val="1"/>
        </w:numPr>
        <w:tabs>
          <w:tab w:val="left" w:pos="0" w:leader="none"/>
          <w:tab w:val="left" w:pos="1134" w:leader="none"/>
        </w:tabs>
        <w:ind w:left="284" w:hanging="0"/>
        <w:rPr/>
      </w:pPr>
      <w:r>
        <w:rPr>
          <w:color w:val="000000"/>
          <w:sz w:val="21"/>
          <w:szCs w:val="21"/>
          <w:lang w:eastAsia="ar-SA"/>
        </w:rPr>
        <w:t>Consulta ao Tribunal de Contas do Estado do Paraná (</w:t>
      </w:r>
      <w:r>
        <w:rPr>
          <w:rStyle w:val="LinkdaInternet"/>
          <w:color w:val="000000"/>
          <w:sz w:val="21"/>
          <w:szCs w:val="21"/>
          <w:lang w:eastAsia="ar-SA"/>
        </w:rPr>
        <w:t xml:space="preserve">https://servicos.tce.pr.gov.br/tcepr/municipal/ail/ConsultarImpedidos.aspx) </w:t>
      </w:r>
      <w:r>
        <w:rPr>
          <w:color w:val="000000"/>
          <w:sz w:val="21"/>
          <w:szCs w:val="21"/>
        </w:rPr>
        <w:t>;</w:t>
      </w:r>
    </w:p>
    <w:p>
      <w:pPr>
        <w:pStyle w:val="Nivel3"/>
        <w:numPr>
          <w:ilvl w:val="2"/>
          <w:numId w:val="1"/>
        </w:numPr>
        <w:tabs>
          <w:tab w:val="left" w:pos="0" w:leader="none"/>
          <w:tab w:val="left" w:pos="1134" w:leader="none"/>
        </w:tabs>
        <w:ind w:left="284" w:hanging="0"/>
        <w:rPr/>
      </w:pPr>
      <w:r>
        <w:rPr>
          <w:color w:val="000000"/>
          <w:sz w:val="21"/>
          <w:szCs w:val="21"/>
          <w:lang w:eastAsia="ar-SA"/>
        </w:rPr>
        <w:t>Consulta Consolidada de Pessoa Jurídica do Tribunal de Contas da União (</w:t>
      </w:r>
      <w:r>
        <w:rPr>
          <w:rStyle w:val="LinkdaInternet"/>
          <w:color w:val="000000"/>
          <w:sz w:val="21"/>
          <w:szCs w:val="21"/>
          <w:lang w:eastAsia="ar-SA"/>
        </w:rPr>
        <w:t xml:space="preserve">https://certidoes-apf.apps.tcu.gov.br/) </w:t>
      </w:r>
      <w:r>
        <w:rPr>
          <w:color w:val="000000"/>
          <w:sz w:val="21"/>
          <w:szCs w:val="21"/>
          <w:lang w:eastAsia="ar-SA"/>
        </w:rPr>
        <w:t>.</w:t>
      </w:r>
      <w:commentRangeEnd w:id="18"/>
      <w:r>
        <w:commentReference w:id="18"/>
      </w:r>
      <w:r>
        <w:rPr>
          <w:color w:val="000000"/>
          <w:sz w:val="21"/>
          <w:szCs w:val="21"/>
          <w:lang w:eastAsia="ar-SA"/>
        </w:rPr>
      </w:r>
    </w:p>
    <w:p>
      <w:pPr>
        <w:pStyle w:val="Nivel2"/>
        <w:numPr>
          <w:ilvl w:val="1"/>
          <w:numId w:val="1"/>
        </w:numPr>
        <w:ind w:left="0" w:hanging="0"/>
        <w:rPr/>
      </w:pPr>
      <w:r>
        <w:rPr>
          <w:color w:val="000000"/>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rPr>
          <w:rStyle w:val="LinkdaInternet"/>
          <w:sz w:val="21"/>
          <w:szCs w:val="21"/>
          <w:color w:val="000000"/>
        </w:rPr>
        <w:instrText> HYPERLINK "https://www.gov.br/compras/pt-br/acesso-a-informacao/legislacao/instrucoes-normativas/instrucao-normativa-no-3-de-26-de-abril-de-2018" \l "art29"</w:instrText>
      </w:r>
      <w:r>
        <w:rPr>
          <w:rStyle w:val="LinkdaInternet"/>
          <w:sz w:val="21"/>
          <w:szCs w:val="21"/>
          <w:color w:val="000000"/>
        </w:rPr>
        <w:fldChar w:fldCharType="separate"/>
      </w:r>
      <w:r>
        <w:rPr>
          <w:rStyle w:val="LinkdaInternet"/>
          <w:color w:val="000000"/>
          <w:sz w:val="21"/>
          <w:szCs w:val="21"/>
        </w:rPr>
        <w:t xml:space="preserve">IN nº 3/2018, art. 29, </w:t>
      </w:r>
      <w:r>
        <w:rPr>
          <w:rStyle w:val="LinkdaInternet"/>
          <w:sz w:val="21"/>
          <w:szCs w:val="21"/>
          <w:color w:val="000000"/>
        </w:rPr>
        <w:fldChar w:fldCharType="end"/>
      </w:r>
      <w:r>
        <w:rPr>
          <w:rStyle w:val="LinkdaInternet"/>
          <w:i/>
          <w:iCs/>
          <w:color w:val="000000"/>
          <w:sz w:val="21"/>
          <w:szCs w:val="21"/>
        </w:rPr>
        <w:t>caput</w:t>
      </w:r>
      <w:r>
        <w:rPr>
          <w:color w:val="000000"/>
          <w:sz w:val="21"/>
          <w:szCs w:val="21"/>
        </w:rPr>
        <w:t>)</w:t>
      </w:r>
    </w:p>
    <w:p>
      <w:pPr>
        <w:pStyle w:val="Nivel3"/>
        <w:numPr>
          <w:ilvl w:val="2"/>
          <w:numId w:val="1"/>
        </w:numPr>
        <w:tabs>
          <w:tab w:val="left" w:pos="0" w:leader="none"/>
          <w:tab w:val="left" w:pos="1134" w:leader="none"/>
        </w:tabs>
        <w:ind w:left="284" w:hanging="0"/>
        <w:rPr/>
      </w:pPr>
      <w:r>
        <w:rPr>
          <w:color w:val="000000"/>
          <w:sz w:val="21"/>
          <w:szCs w:val="21"/>
        </w:rPr>
        <w:t>A tentativa de burla será verificada por meio dos vínculos societários, linhas de fornecimento similares, dentre outros. (</w:t>
      </w:r>
      <w:hyperlink r:id="rId13">
        <w:r>
          <w:rPr>
            <w:rStyle w:val="LinkdaInternet"/>
            <w:color w:val="000000"/>
            <w:sz w:val="21"/>
            <w:szCs w:val="21"/>
          </w:rPr>
          <w:t>IN nº 3/2018, art. 29, §1º</w:t>
        </w:r>
      </w:hyperlink>
      <w:r>
        <w:rPr>
          <w:color w:val="000000"/>
          <w:sz w:val="21"/>
          <w:szCs w:val="21"/>
        </w:rPr>
        <w:t>).</w:t>
      </w:r>
    </w:p>
    <w:p>
      <w:pPr>
        <w:pStyle w:val="Nivel3"/>
        <w:numPr>
          <w:ilvl w:val="2"/>
          <w:numId w:val="1"/>
        </w:numPr>
        <w:tabs>
          <w:tab w:val="left" w:pos="0" w:leader="none"/>
          <w:tab w:val="left" w:pos="1134" w:leader="none"/>
        </w:tabs>
        <w:ind w:left="284" w:hanging="0"/>
        <w:rPr/>
      </w:pPr>
      <w:r>
        <w:rPr>
          <w:sz w:val="21"/>
          <w:szCs w:val="21"/>
        </w:rPr>
        <w:t>O licitante será convocado para manifestação previamente a uma eventual desclassificação</w:t>
      </w:r>
      <w:r>
        <w:rPr>
          <w:color w:val="000000"/>
          <w:sz w:val="21"/>
          <w:szCs w:val="21"/>
        </w:rPr>
        <w:t>. (</w:t>
      </w:r>
      <w:hyperlink r:id="rId14">
        <w:r>
          <w:rPr>
            <w:rStyle w:val="LinkdaInternet"/>
            <w:color w:val="000000"/>
            <w:sz w:val="21"/>
            <w:szCs w:val="21"/>
          </w:rPr>
          <w:t>IN nº 3/2018, art. 29, §2º</w:t>
        </w:r>
      </w:hyperlink>
      <w:r>
        <w:rPr>
          <w:color w:val="000000"/>
          <w:sz w:val="21"/>
          <w:szCs w:val="21"/>
        </w:rPr>
        <w:t>).</w:t>
      </w:r>
    </w:p>
    <w:p>
      <w:pPr>
        <w:pStyle w:val="Nivel3"/>
        <w:numPr>
          <w:ilvl w:val="2"/>
          <w:numId w:val="1"/>
        </w:numPr>
        <w:tabs>
          <w:tab w:val="left" w:pos="0" w:leader="none"/>
          <w:tab w:val="left" w:pos="1134" w:leader="none"/>
        </w:tabs>
        <w:ind w:left="284" w:hanging="0"/>
        <w:rPr>
          <w:color w:val="000000"/>
        </w:rPr>
      </w:pPr>
      <w:r>
        <w:rPr>
          <w:color w:val="000000"/>
          <w:sz w:val="21"/>
          <w:szCs w:val="21"/>
        </w:rPr>
        <w:t>Constatada a existência de sanção, o licitante será reputado inabilitado, por falta de condição de participação.</w:t>
      </w:r>
      <w:bookmarkStart w:id="38" w:name="_Hlk135317550"/>
      <w:bookmarkEnd w:id="38"/>
    </w:p>
    <w:p>
      <w:pPr>
        <w:pStyle w:val="Nivel2"/>
        <w:numPr>
          <w:ilvl w:val="1"/>
          <w:numId w:val="1"/>
        </w:numPr>
        <w:ind w:left="0" w:hanging="0"/>
        <w:rPr>
          <w:color w:val="000000"/>
        </w:rPr>
      </w:pPr>
      <w:r>
        <w:rPr>
          <w:color w:val="000000"/>
          <w:sz w:val="21"/>
          <w:szCs w:val="21"/>
        </w:rPr>
        <w:t>Caso o licitante provisoriamente classificado em primeiro lugar tenha se utilizado de algum tratamento favorecido às</w:t>
      </w:r>
      <w:r>
        <w:rPr>
          <w:color w:val="000000"/>
          <w:sz w:val="21"/>
          <w:szCs w:val="21"/>
          <w:shd w:fill="FFFFFF" w:val="clear"/>
        </w:rPr>
        <w:t xml:space="preserve"> ME/EPPs, o pregoeiro verificará se faz jus ao benefício, em conformidade com os itens 4.5 e </w:t>
      </w:r>
      <w:r>
        <w:rPr>
          <w:color w:val="000000"/>
          <w:sz w:val="21"/>
          <w:szCs w:val="21"/>
          <w:shd w:fill="FFFFFF" w:val="clear"/>
        </w:rPr>
        <w:fldChar w:fldCharType="begin"/>
      </w:r>
      <w:r>
        <w:rPr>
          <w:sz w:val="21"/>
          <w:shd w:fill="FFFFFF" w:val="clear"/>
          <w:szCs w:val="21"/>
          <w:color w:val="000000"/>
        </w:rPr>
        <w:instrText> REF _Ref117000019 \r \h </w:instrText>
      </w:r>
      <w:r>
        <w:rPr>
          <w:sz w:val="21"/>
          <w:shd w:fill="FFFFFF" w:val="clear"/>
          <w:szCs w:val="21"/>
          <w:color w:val="000000"/>
        </w:rPr>
        <w:fldChar w:fldCharType="separate"/>
      </w:r>
      <w:r>
        <w:rPr>
          <w:sz w:val="21"/>
          <w:shd w:fill="FFFFFF" w:val="clear"/>
          <w:szCs w:val="21"/>
          <w:color w:val="000000"/>
        </w:rPr>
        <w:t>6.5.</w:t>
      </w:r>
      <w:r>
        <w:rPr>
          <w:sz w:val="21"/>
          <w:shd w:fill="FFFFFF" w:val="clear"/>
          <w:szCs w:val="21"/>
          <w:color w:val="000000"/>
        </w:rPr>
        <w:fldChar w:fldCharType="end"/>
      </w:r>
      <w:r>
        <w:rPr>
          <w:color w:val="000000"/>
          <w:sz w:val="21"/>
          <w:szCs w:val="21"/>
          <w:shd w:fill="FFFFFF" w:val="clear"/>
        </w:rPr>
        <w:t xml:space="preserve"> deste edital.</w:t>
      </w:r>
    </w:p>
    <w:p>
      <w:pPr>
        <w:pStyle w:val="Nivel2"/>
        <w:numPr>
          <w:ilvl w:val="1"/>
          <w:numId w:val="1"/>
        </w:numPr>
        <w:ind w:left="0" w:hanging="0"/>
        <w:rPr/>
      </w:pPr>
      <w:r>
        <w:rPr>
          <w:sz w:val="21"/>
          <w:szCs w:val="21"/>
          <w:shd w:fill="FFFFFF" w:val="clear"/>
        </w:rPr>
        <w:t>Verificadas as condições de</w:t>
      </w:r>
      <w:r>
        <w:rPr>
          <w:sz w:val="21"/>
          <w:szCs w:val="21"/>
        </w:rPr>
        <w:t xml:space="preserve"> participação e de utilização do tratamento favorecido, o pregoeiro examinará a proposta classificada em primeiro lugar quanto à adequação ao objeto e à compatibilidade do preço em relação ao máximo estipulado para contratação neste Edital e em seus an</w:t>
      </w:r>
      <w:r>
        <w:rPr>
          <w:color w:val="000000"/>
          <w:sz w:val="21"/>
          <w:szCs w:val="21"/>
        </w:rPr>
        <w:t xml:space="preserve">exos, observado o disposto no </w:t>
      </w:r>
      <w:r>
        <w:fldChar w:fldCharType="begin"/>
      </w:r>
      <w:r>
        <w:rPr>
          <w:rStyle w:val="LinkdaInternet"/>
          <w:sz w:val="21"/>
          <w:szCs w:val="21"/>
          <w:color w:val="000000"/>
        </w:rPr>
        <w:instrText> HYPERLINK "https://www.gov.br/compras/pt-br/acesso-a-informacao/legislacao/instrucoes-normativas/instrucao-normativa-seges-me-no-73-de-30-de-setembro-de-2022" \l "art29"</w:instrText>
      </w:r>
      <w:r>
        <w:rPr>
          <w:rStyle w:val="LinkdaInternet"/>
          <w:sz w:val="21"/>
          <w:szCs w:val="21"/>
          <w:color w:val="000000"/>
        </w:rPr>
        <w:fldChar w:fldCharType="separate"/>
      </w:r>
      <w:r>
        <w:rPr>
          <w:rStyle w:val="LinkdaInternet"/>
          <w:color w:val="000000"/>
          <w:sz w:val="21"/>
          <w:szCs w:val="21"/>
        </w:rPr>
        <w:t>artigo 29 a 35 da IN SEGES nº 73, de 30 de setembro de 2022</w:t>
      </w:r>
      <w:r>
        <w:rPr>
          <w:rStyle w:val="LinkdaInternet"/>
          <w:sz w:val="21"/>
          <w:szCs w:val="21"/>
          <w:color w:val="000000"/>
        </w:rPr>
        <w:fldChar w:fldCharType="end"/>
      </w:r>
      <w:r>
        <w:rPr>
          <w:color w:val="000000"/>
          <w:sz w:val="21"/>
          <w:szCs w:val="21"/>
        </w:rPr>
        <w:t>.</w:t>
      </w:r>
    </w:p>
    <w:p>
      <w:pPr>
        <w:pStyle w:val="Nivel2"/>
        <w:numPr>
          <w:ilvl w:val="1"/>
          <w:numId w:val="1"/>
        </w:numPr>
        <w:ind w:left="0" w:hanging="0"/>
        <w:rPr>
          <w:sz w:val="21"/>
          <w:szCs w:val="21"/>
        </w:rPr>
      </w:pPr>
      <w:r>
        <w:rPr>
          <w:sz w:val="21"/>
          <w:szCs w:val="21"/>
        </w:rPr>
        <w:t xml:space="preserve">Será desclassificada a proposta vencedora que: </w:t>
      </w:r>
    </w:p>
    <w:p>
      <w:pPr>
        <w:pStyle w:val="Nivel3"/>
        <w:numPr>
          <w:ilvl w:val="2"/>
          <w:numId w:val="1"/>
        </w:numPr>
        <w:tabs>
          <w:tab w:val="left" w:pos="0" w:leader="none"/>
          <w:tab w:val="left" w:pos="1134" w:leader="none"/>
        </w:tabs>
        <w:ind w:left="284" w:hanging="0"/>
        <w:rPr>
          <w:sz w:val="21"/>
          <w:szCs w:val="21"/>
        </w:rPr>
      </w:pPr>
      <w:r>
        <w:rPr>
          <w:sz w:val="21"/>
          <w:szCs w:val="21"/>
        </w:rPr>
        <w:t>Contiver vícios insanáveis;</w:t>
      </w:r>
    </w:p>
    <w:p>
      <w:pPr>
        <w:pStyle w:val="Nivel3"/>
        <w:numPr>
          <w:ilvl w:val="2"/>
          <w:numId w:val="1"/>
        </w:numPr>
        <w:tabs>
          <w:tab w:val="left" w:pos="0" w:leader="none"/>
          <w:tab w:val="left" w:pos="1134" w:leader="none"/>
        </w:tabs>
        <w:ind w:left="284" w:hanging="0"/>
        <w:rPr>
          <w:sz w:val="21"/>
          <w:szCs w:val="21"/>
        </w:rPr>
      </w:pPr>
      <w:r>
        <w:rPr>
          <w:sz w:val="21"/>
          <w:szCs w:val="21"/>
        </w:rPr>
        <w:t>Não obedecer às especificações técnicas contidas no Termo de Referência;</w:t>
      </w:r>
    </w:p>
    <w:p>
      <w:pPr>
        <w:pStyle w:val="Nivel3"/>
        <w:numPr>
          <w:ilvl w:val="2"/>
          <w:numId w:val="1"/>
        </w:numPr>
        <w:tabs>
          <w:tab w:val="left" w:pos="0" w:leader="none"/>
          <w:tab w:val="left" w:pos="1134" w:leader="none"/>
        </w:tabs>
        <w:ind w:left="284" w:hanging="0"/>
        <w:rPr>
          <w:sz w:val="21"/>
          <w:szCs w:val="21"/>
        </w:rPr>
      </w:pPr>
      <w:r>
        <w:rPr>
          <w:sz w:val="21"/>
          <w:szCs w:val="21"/>
        </w:rPr>
        <w:t>Apresentar preços inexequíveis ou permanecerem acima do preço máximo definido para a contratação;</w:t>
      </w:r>
    </w:p>
    <w:p>
      <w:pPr>
        <w:pStyle w:val="Nivel3"/>
        <w:numPr>
          <w:ilvl w:val="2"/>
          <w:numId w:val="1"/>
        </w:numPr>
        <w:tabs>
          <w:tab w:val="left" w:pos="0" w:leader="none"/>
          <w:tab w:val="left" w:pos="1134" w:leader="none"/>
        </w:tabs>
        <w:ind w:left="284" w:hanging="0"/>
        <w:rPr>
          <w:sz w:val="21"/>
          <w:szCs w:val="21"/>
        </w:rPr>
      </w:pPr>
      <w:r>
        <w:rPr>
          <w:sz w:val="21"/>
          <w:szCs w:val="21"/>
        </w:rPr>
        <w:t>Não tiverem sua exequibilidade demonstrada, quando exigido pela Administração;</w:t>
      </w:r>
    </w:p>
    <w:p>
      <w:pPr>
        <w:pStyle w:val="Nivel3"/>
        <w:numPr>
          <w:ilvl w:val="2"/>
          <w:numId w:val="1"/>
        </w:numPr>
        <w:tabs>
          <w:tab w:val="left" w:pos="0" w:leader="none"/>
          <w:tab w:val="left" w:pos="1134" w:leader="none"/>
        </w:tabs>
        <w:ind w:left="284" w:hanging="0"/>
        <w:rPr>
          <w:sz w:val="21"/>
          <w:szCs w:val="21"/>
        </w:rPr>
      </w:pPr>
      <w:r>
        <w:rPr>
          <w:sz w:val="21"/>
          <w:szCs w:val="21"/>
        </w:rPr>
        <w:t>Apresentar desconformidade com quaisquer outras exigências deste Edital ou seus anexos, desde que insanável.</w:t>
      </w:r>
    </w:p>
    <w:p>
      <w:pPr>
        <w:pStyle w:val="Nivel2"/>
        <w:numPr>
          <w:ilvl w:val="1"/>
          <w:numId w:val="1"/>
        </w:numPr>
        <w:ind w:left="0" w:hanging="0"/>
        <w:rPr>
          <w:sz w:val="21"/>
          <w:szCs w:val="21"/>
        </w:rPr>
      </w:pPr>
      <w:r>
        <w:rPr>
          <w:sz w:val="21"/>
          <w:szCs w:val="21"/>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pPr>
      <w:r>
        <w:rPr>
          <w:sz w:val="21"/>
          <w:szCs w:val="21"/>
          <w:lang w:eastAsia="en-US"/>
        </w:rPr>
        <w:t xml:space="preserve">Para </w:t>
      </w:r>
      <w:r>
        <w:rPr>
          <w:sz w:val="21"/>
          <w:szCs w:val="21"/>
        </w:rPr>
        <w:t>fins</w:t>
      </w:r>
      <w:r>
        <w:rPr>
          <w:sz w:val="21"/>
          <w:szCs w:val="21"/>
          <w:lang w:eastAsia="en-US"/>
        </w:rPr>
        <w:t xml:space="preserve"> de análise da proposta quanto ao cumprimento </w:t>
      </w:r>
      <w:r>
        <w:rPr>
          <w:sz w:val="21"/>
          <w:szCs w:val="21"/>
        </w:rPr>
        <w:t>das</w:t>
      </w:r>
      <w:r>
        <w:rPr>
          <w:sz w:val="21"/>
          <w:szCs w:val="21"/>
          <w:lang w:eastAsia="en-US"/>
        </w:rPr>
        <w:t xml:space="preserve"> especificações do objeto, poderá ser colhida a </w:t>
      </w:r>
      <w:r>
        <w:rPr>
          <w:sz w:val="21"/>
          <w:szCs w:val="21"/>
        </w:rPr>
        <w:t>manifestação</w:t>
      </w:r>
      <w:r>
        <w:rPr>
          <w:sz w:val="21"/>
          <w:szCs w:val="21"/>
          <w:lang w:eastAsia="en-US"/>
        </w:rPr>
        <w:t xml:space="preserve"> escrita do setor requisitante do serviço ou da área especializada no objeto</w:t>
      </w:r>
      <w:r>
        <w:rPr>
          <w:rFonts w:eastAsia="Times New Roman"/>
          <w:sz w:val="21"/>
          <w:szCs w:val="21"/>
        </w:rPr>
        <w:t>.</w:t>
      </w:r>
    </w:p>
    <w:p>
      <w:pPr>
        <w:pStyle w:val="Nivel2"/>
        <w:numPr>
          <w:ilvl w:val="1"/>
          <w:numId w:val="1"/>
        </w:numPr>
        <w:ind w:left="0" w:hanging="0"/>
        <w:rPr>
          <w:color w:val="000000"/>
        </w:rPr>
      </w:pPr>
      <w:r>
        <w:rPr>
          <w:color w:val="000000"/>
          <w:sz w:val="21"/>
          <w:szCs w:val="21"/>
        </w:rPr>
        <w:t xml:space="preserve">Caso o Termo de Referência exija a apresentação de </w:t>
      </w:r>
      <w:r>
        <w:rPr>
          <w:b/>
          <w:color w:val="000000"/>
          <w:sz w:val="21"/>
          <w:szCs w:val="21"/>
        </w:rPr>
        <w:t>AMOSTRA</w:t>
      </w:r>
      <w:r>
        <w:rPr/>
        <w:commentReference w:id="19"/>
      </w:r>
      <w:r>
        <w:rPr>
          <w:color w:val="000000"/>
          <w:sz w:val="21"/>
          <w:szCs w:val="21"/>
        </w:rPr>
        <w:t>, o licitante classificado em primeiro lugar deverá apresentá-la, conforme disciplinado no Termo de Referência, sob pena de não aceitação da proposta.</w:t>
      </w:r>
    </w:p>
    <w:p>
      <w:pPr>
        <w:pStyle w:val="Nivel2"/>
        <w:numPr>
          <w:ilvl w:val="1"/>
          <w:numId w:val="1"/>
        </w:numPr>
        <w:ind w:left="0" w:hanging="0"/>
        <w:rPr>
          <w:color w:val="000000"/>
        </w:rPr>
      </w:pPr>
      <w:r>
        <w:rPr>
          <w:color w:val="000000"/>
          <w:sz w:val="21"/>
          <w:szCs w:val="21"/>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color w:val="000000"/>
        </w:rPr>
      </w:pPr>
      <w:r>
        <w:rPr>
          <w:color w:val="000000"/>
          <w:sz w:val="21"/>
          <w:szCs w:val="21"/>
        </w:rPr>
        <w:t xml:space="preserve">Os resultados das avaliações serão divulgados por meio de mensagem no sistema, conforme o </w:t>
      </w:r>
      <w:r>
        <w:rPr>
          <w:b/>
          <w:iCs/>
          <w:color w:val="000000"/>
          <w:sz w:val="21"/>
          <w:szCs w:val="21"/>
        </w:rPr>
        <w:t xml:space="preserve">RELATÓRIO DE AVALIAÇÃO DE </w:t>
      </w:r>
      <w:r>
        <w:rPr>
          <w:b/>
          <w:color w:val="000000"/>
          <w:sz w:val="21"/>
          <w:szCs w:val="21"/>
        </w:rPr>
        <w:t xml:space="preserve">AMOSTRA, </w:t>
      </w:r>
      <w:r>
        <w:rPr>
          <w:color w:val="000000"/>
          <w:sz w:val="21"/>
          <w:szCs w:val="21"/>
        </w:rPr>
        <w:t>emitido pela área técnica da Secretaria requisitante.</w:t>
      </w:r>
    </w:p>
    <w:p>
      <w:pPr>
        <w:pStyle w:val="Nivel2"/>
        <w:numPr>
          <w:ilvl w:val="1"/>
          <w:numId w:val="1"/>
        </w:numPr>
        <w:ind w:left="0" w:hanging="0"/>
        <w:rPr>
          <w:color w:val="000000"/>
        </w:rPr>
      </w:pPr>
      <w:r>
        <w:rPr>
          <w:color w:val="000000"/>
          <w:sz w:val="21"/>
          <w:szCs w:val="21"/>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hanging="0"/>
        <w:rPr>
          <w:color w:val="000000"/>
        </w:rPr>
      </w:pPr>
      <w:r>
        <w:rPr>
          <w:color w:val="000000"/>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spacing w:before="288" w:after="288"/>
        <w:ind w:left="0" w:right="0" w:hanging="0"/>
        <w:rPr>
          <w:sz w:val="21"/>
          <w:szCs w:val="21"/>
        </w:rPr>
      </w:pPr>
      <w:bookmarkStart w:id="39" w:name="_Toc136943937"/>
      <w:r>
        <w:rPr>
          <w:sz w:val="21"/>
          <w:szCs w:val="21"/>
        </w:rPr>
        <w:t>DA FASE DE HABILITAÇÃO</w:t>
      </w:r>
      <w:bookmarkEnd w:id="39"/>
    </w:p>
    <w:p>
      <w:pPr>
        <w:pStyle w:val="Nivel2"/>
        <w:numPr>
          <w:ilvl w:val="1"/>
          <w:numId w:val="1"/>
        </w:numPr>
        <w:ind w:left="0" w:hanging="0"/>
        <w:rPr/>
      </w:pPr>
      <w:r>
        <w:rPr>
          <w:sz w:val="21"/>
          <w:szCs w:val="21"/>
        </w:rPr>
        <w:t xml:space="preserve">Os documentos necessários e suficientes para demonstrar a capacidade do licitante de realizar o objeto da licitação, serão exigidos para fins de habilitação, nos termos dos </w:t>
      </w:r>
      <w:r>
        <w:fldChar w:fldCharType="begin"/>
      </w:r>
      <w:r>
        <w:rPr>
          <w:rStyle w:val="LinkdaInternet"/>
          <w:sz w:val="21"/>
          <w:szCs w:val="21"/>
        </w:rPr>
        <w:instrText> HYPERLINK "http://www.planalto.gov.br/ccivil_03/_ato2019-2022/2021/lei/L14133.htm" \l "art62"</w:instrText>
      </w:r>
      <w:r>
        <w:rPr>
          <w:rStyle w:val="LinkdaInternet"/>
          <w:sz w:val="21"/>
          <w:szCs w:val="21"/>
        </w:rPr>
        <w:fldChar w:fldCharType="separate"/>
      </w:r>
      <w:r>
        <w:rPr>
          <w:rStyle w:val="LinkdaInternet"/>
          <w:sz w:val="21"/>
          <w:szCs w:val="21"/>
        </w:rPr>
        <w:t>arts. 62 a 70 da Lei nº 14.133, de 2021</w:t>
      </w:r>
      <w:r>
        <w:rPr>
          <w:rStyle w:val="LinkdaInternet"/>
          <w:sz w:val="21"/>
          <w:szCs w:val="21"/>
        </w:rPr>
        <w:fldChar w:fldCharType="end"/>
      </w:r>
      <w:r>
        <w:rPr>
          <w:sz w:val="21"/>
          <w:szCs w:val="21"/>
        </w:rPr>
        <w:t>.</w:t>
      </w:r>
    </w:p>
    <w:p>
      <w:pPr>
        <w:pStyle w:val="Normal"/>
        <w:numPr>
          <w:ilvl w:val="2"/>
          <w:numId w:val="1"/>
        </w:numPr>
        <w:tabs>
          <w:tab w:val="clear" w:pos="708"/>
          <w:tab w:val="left" w:pos="993" w:leader="none"/>
        </w:tabs>
        <w:spacing w:lineRule="auto" w:line="276" w:before="120" w:after="120"/>
        <w:ind w:left="284" w:hanging="0"/>
        <w:jc w:val="both"/>
        <w:rPr/>
      </w:pPr>
      <w:r>
        <w:rPr>
          <w:rFonts w:cs="Arial" w:ascii="Arial" w:hAnsi="Arial"/>
          <w:color w:val="000000"/>
          <w:sz w:val="21"/>
          <w:szCs w:val="21"/>
        </w:rPr>
        <w:t xml:space="preserve">A documentação exigida para fins de habilitação jurídica, fiscal, social e trabalhista e econômico-ﬁnanceira, </w:t>
      </w:r>
      <w:r>
        <w:rPr>
          <w:rFonts w:cs="Arial" w:ascii="Arial" w:hAnsi="Arial"/>
          <w:b/>
          <w:sz w:val="21"/>
          <w:szCs w:val="21"/>
          <w:u w:val="single"/>
        </w:rPr>
        <w:t xml:space="preserve">poderá </w:t>
      </w:r>
      <w:r>
        <w:rPr>
          <w:rFonts w:cs="Arial" w:ascii="Arial" w:hAnsi="Arial"/>
          <w:b/>
          <w:color w:val="000000"/>
          <w:sz w:val="21"/>
          <w:szCs w:val="21"/>
          <w:u w:val="single"/>
        </w:rPr>
        <w:t>ser substituída pelo registro cadastral do SICAF</w:t>
      </w:r>
      <w:r>
        <w:rPr>
          <w:rFonts w:cs="Arial" w:ascii="Arial" w:hAnsi="Arial"/>
          <w:color w:val="000000"/>
          <w:sz w:val="21"/>
          <w:szCs w:val="21"/>
        </w:rPr>
        <w:t>, ou apresentada conforme elencado:</w:t>
      </w:r>
    </w:p>
    <w:p>
      <w:pPr>
        <w:pStyle w:val="Nivel4"/>
        <w:numPr>
          <w:ilvl w:val="3"/>
          <w:numId w:val="1"/>
        </w:numPr>
        <w:ind w:left="567" w:hanging="0"/>
        <w:rPr>
          <w:b/>
          <w:b/>
          <w:sz w:val="21"/>
          <w:szCs w:val="21"/>
        </w:rPr>
      </w:pPr>
      <w:r>
        <w:rPr>
          <w:b/>
          <w:sz w:val="21"/>
          <w:szCs w:val="21"/>
        </w:rPr>
        <w:t>Habilitação Jurídica:</w:t>
      </w:r>
    </w:p>
    <w:p>
      <w:pPr>
        <w:pStyle w:val="Nivel3"/>
        <w:numPr>
          <w:ilvl w:val="0"/>
          <w:numId w:val="3"/>
        </w:numPr>
        <w:shd w:val="clear" w:color="auto" w:fill="D9D9D9"/>
        <w:tabs>
          <w:tab w:val="left" w:pos="0" w:leader="none"/>
          <w:tab w:val="left" w:pos="1276" w:leader="none"/>
        </w:tabs>
        <w:ind w:left="567" w:hanging="0"/>
        <w:rPr/>
      </w:pPr>
      <w:bookmarkStart w:id="40" w:name="_Ref115800561"/>
      <w:commentRangeStart w:id="20"/>
      <w:r>
        <w:rPr>
          <w:b/>
          <w:sz w:val="21"/>
          <w:szCs w:val="21"/>
        </w:rPr>
        <w:t xml:space="preserve">Pessoa física: </w:t>
      </w:r>
      <w:r>
        <w:rPr>
          <w:sz w:val="21"/>
          <w:szCs w:val="21"/>
        </w:rPr>
        <w:t>cédula de identidade (RG) ou documento equivalente que, por força de lei, tenha validade para fins de identificação em todo o território nacional;</w:t>
      </w:r>
      <w:bookmarkEnd w:id="40"/>
      <w:commentRangeEnd w:id="20"/>
      <w:r>
        <w:commentReference w:id="20"/>
      </w:r>
      <w:r>
        <w:rPr>
          <w:sz w:val="21"/>
          <w:szCs w:val="21"/>
        </w:rPr>
      </w:r>
    </w:p>
    <w:p>
      <w:pPr>
        <w:pStyle w:val="Nivel3"/>
        <w:numPr>
          <w:ilvl w:val="0"/>
          <w:numId w:val="3"/>
        </w:numPr>
        <w:tabs>
          <w:tab w:val="left" w:pos="0" w:leader="none"/>
          <w:tab w:val="left" w:pos="1276" w:leader="none"/>
        </w:tabs>
        <w:ind w:left="567" w:hanging="0"/>
        <w:rPr/>
      </w:pPr>
      <w:r>
        <w:rPr>
          <w:b/>
          <w:sz w:val="21"/>
          <w:szCs w:val="21"/>
        </w:rPr>
        <w:t>Empresário individual</w:t>
      </w:r>
      <w:r>
        <w:rPr>
          <w:sz w:val="21"/>
          <w:szCs w:val="21"/>
        </w:rPr>
        <w:t>: inscrição no Registro Público de Empresas Mercantis, a cargo da Junta Comercial da respectiva sede;</w:t>
      </w:r>
    </w:p>
    <w:p>
      <w:pPr>
        <w:pStyle w:val="Nivel3"/>
        <w:numPr>
          <w:ilvl w:val="0"/>
          <w:numId w:val="3"/>
        </w:numPr>
        <w:tabs>
          <w:tab w:val="left" w:pos="0" w:leader="none"/>
          <w:tab w:val="left" w:pos="1276" w:leader="none"/>
        </w:tabs>
        <w:ind w:left="567" w:hanging="0"/>
        <w:rPr/>
      </w:pPr>
      <w:r>
        <w:rPr>
          <w:b/>
          <w:sz w:val="21"/>
          <w:szCs w:val="21"/>
        </w:rPr>
        <w:t>Microempreendedor individual – MEI</w:t>
      </w:r>
      <w:r>
        <w:rPr>
          <w:sz w:val="21"/>
          <w:szCs w:val="21"/>
        </w:rPr>
        <w:t>: Certificado da Condição de Microempreendedor In</w:t>
      </w:r>
      <w:r>
        <w:rPr>
          <w:color w:val="000000"/>
          <w:sz w:val="21"/>
          <w:szCs w:val="21"/>
        </w:rPr>
        <w:t xml:space="preserve">dividual - CCMEI, cuja aceitação ficará condicionada à verificação da autenticidade no sítio </w:t>
      </w:r>
      <w:hyperlink r:id="rId15">
        <w:r>
          <w:rPr>
            <w:rStyle w:val="LinkdaInternet"/>
            <w:color w:val="000000"/>
            <w:sz w:val="21"/>
            <w:szCs w:val="21"/>
          </w:rPr>
          <w:t>https://www.gov.br/empresas-e-negocios/pt-br/empreendedor</w:t>
        </w:r>
      </w:hyperlink>
      <w:r>
        <w:rPr>
          <w:color w:val="000000"/>
          <w:sz w:val="21"/>
          <w:szCs w:val="21"/>
        </w:rPr>
        <w:t>;</w:t>
      </w:r>
    </w:p>
    <w:p>
      <w:pPr>
        <w:pStyle w:val="Nivel3"/>
        <w:numPr>
          <w:ilvl w:val="0"/>
          <w:numId w:val="3"/>
        </w:numPr>
        <w:tabs>
          <w:tab w:val="left" w:pos="0" w:leader="none"/>
          <w:tab w:val="left" w:pos="1276" w:leader="none"/>
        </w:tabs>
        <w:ind w:left="567" w:hanging="0"/>
        <w:rPr>
          <w:color w:val="000000"/>
        </w:rPr>
      </w:pPr>
      <w:commentRangeStart w:id="21"/>
      <w:r>
        <w:rPr>
          <w:b/>
          <w:color w:val="000000"/>
          <w:sz w:val="21"/>
          <w:szCs w:val="21"/>
        </w:rPr>
        <w:t>Sociedade empresária, sociedade limitada unipessoal – SLU</w:t>
      </w:r>
      <w:r>
        <w:rPr>
          <w:b/>
          <w:color w:val="000000"/>
          <w:sz w:val="21"/>
          <w:szCs w:val="21"/>
        </w:rPr>
      </w:r>
      <w:commentRangeEnd w:id="21"/>
      <w:r>
        <w:commentReference w:id="21"/>
      </w:r>
      <w:r>
        <w:rPr>
          <w:b/>
          <w:color w:val="000000"/>
          <w:sz w:val="21"/>
          <w:szCs w:val="21"/>
        </w:rPr>
        <w:t>:</w:t>
      </w:r>
      <w:r>
        <w:rPr>
          <w:color w:val="000000"/>
          <w:sz w:val="21"/>
          <w:szCs w:val="21"/>
        </w:rPr>
        <w:t xml:space="preserve"> inscrição do ato constitutivo, estatuto ou contrato social no Registro Público de Empresas Mercantis, a cargo da Junta Comercial da respectiva sede, acompanhada de documento comprobatório de seus administradores</w:t>
      </w:r>
    </w:p>
    <w:p>
      <w:pPr>
        <w:pStyle w:val="Nivel3"/>
        <w:numPr>
          <w:ilvl w:val="0"/>
          <w:numId w:val="3"/>
        </w:numPr>
        <w:tabs>
          <w:tab w:val="left" w:pos="0" w:leader="none"/>
          <w:tab w:val="left" w:pos="1276" w:leader="none"/>
        </w:tabs>
        <w:ind w:left="567" w:hanging="0"/>
        <w:rPr>
          <w:color w:val="000000"/>
        </w:rPr>
      </w:pPr>
      <w:r>
        <w:rPr>
          <w:b/>
          <w:color w:val="000000"/>
          <w:sz w:val="21"/>
          <w:szCs w:val="21"/>
        </w:rPr>
        <w:t>Sociedade simples:</w:t>
      </w:r>
      <w:r>
        <w:rPr>
          <w:color w:val="000000"/>
          <w:sz w:val="21"/>
          <w:szCs w:val="21"/>
        </w:rPr>
        <w:t xml:space="preserve"> inscrição do ato constitutivo no Registro Civil das Pessoas Jurídicas do local de sua sede, acompanhada de prova da indicação dos seus administradores;</w:t>
      </w:r>
    </w:p>
    <w:p>
      <w:pPr>
        <w:pStyle w:val="Nivel3"/>
        <w:numPr>
          <w:ilvl w:val="0"/>
          <w:numId w:val="3"/>
        </w:numPr>
        <w:tabs>
          <w:tab w:val="left" w:pos="0" w:leader="none"/>
          <w:tab w:val="left" w:pos="1276" w:leader="none"/>
        </w:tabs>
        <w:ind w:left="567" w:hanging="0"/>
        <w:rPr>
          <w:color w:val="000000"/>
        </w:rPr>
      </w:pPr>
      <w:r>
        <w:rPr>
          <w:b/>
          <w:bCs/>
          <w:color w:val="000000"/>
          <w:sz w:val="21"/>
          <w:szCs w:val="21"/>
        </w:rPr>
        <w:t>Filial, sucursal ou agência de sociedade simples ou empresária:</w:t>
      </w:r>
      <w:r>
        <w:rPr>
          <w:color w:val="000000"/>
          <w:sz w:val="21"/>
          <w:szCs w:val="21"/>
        </w:rPr>
        <w:t xml:space="preserve"> inscrição do ato constitutivo da filial, sucursal ou agência da sociedade simples ou empresária, respectivamente, no Registro Civil das Pessoas Jurídicas ou no Registro Público de Empresas </w:t>
      </w:r>
      <w:bookmarkStart w:id="41" w:name="_Int_ySfCXwr4"/>
      <w:r>
        <w:rPr>
          <w:color w:val="000000"/>
          <w:sz w:val="21"/>
          <w:szCs w:val="21"/>
        </w:rPr>
        <w:t>Mercantis onde</w:t>
      </w:r>
      <w:bookmarkEnd w:id="41"/>
      <w:r>
        <w:rPr>
          <w:color w:val="000000"/>
          <w:sz w:val="21"/>
          <w:szCs w:val="21"/>
        </w:rPr>
        <w:t xml:space="preserve"> opera, com averbação no Registro onde tem sede a matriz</w:t>
      </w:r>
    </w:p>
    <w:p>
      <w:pPr>
        <w:pStyle w:val="Nivel3"/>
        <w:numPr>
          <w:ilvl w:val="0"/>
          <w:numId w:val="3"/>
        </w:numPr>
        <w:tabs>
          <w:tab w:val="left" w:pos="0" w:leader="none"/>
          <w:tab w:val="left" w:pos="1276" w:leader="none"/>
        </w:tabs>
        <w:ind w:left="567" w:hanging="0"/>
        <w:rPr/>
      </w:pPr>
      <w:r>
        <w:rPr>
          <w:b/>
          <w:bCs/>
          <w:color w:val="000000"/>
          <w:sz w:val="21"/>
          <w:szCs w:val="21"/>
        </w:rPr>
        <w:t>Sociedade cooperativa:</w:t>
      </w:r>
      <w:r>
        <w:rPr>
          <w:color w:val="000000"/>
          <w:sz w:val="21"/>
          <w:szCs w:val="21"/>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sz w:val="21"/>
          <w:szCs w:val="21"/>
          <w:color w:val="000000"/>
        </w:rPr>
        <w:instrText> HYPERLINK "https://www.planalto.gov.br/ccivil_03/leis/l5764.htm" \l "art107"</w:instrText>
      </w:r>
      <w:r>
        <w:rPr>
          <w:rStyle w:val="LinkdaInternet"/>
          <w:sz w:val="21"/>
          <w:szCs w:val="21"/>
          <w:color w:val="000000"/>
        </w:rPr>
        <w:fldChar w:fldCharType="separate"/>
      </w:r>
      <w:r>
        <w:rPr>
          <w:rStyle w:val="LinkdaInternet"/>
          <w:color w:val="000000"/>
          <w:sz w:val="21"/>
          <w:szCs w:val="21"/>
        </w:rPr>
        <w:t>art. 107 da Lei nº 5.764, de 16 de dezembro 1971</w:t>
      </w:r>
      <w:r>
        <w:rPr>
          <w:rStyle w:val="LinkdaInternet"/>
          <w:sz w:val="21"/>
          <w:szCs w:val="21"/>
          <w:color w:val="000000"/>
        </w:rPr>
        <w:fldChar w:fldCharType="end"/>
      </w:r>
      <w:r>
        <w:rPr>
          <w:color w:val="000000"/>
          <w:sz w:val="21"/>
          <w:szCs w:val="21"/>
        </w:rPr>
        <w:t>.</w:t>
      </w:r>
    </w:p>
    <w:p>
      <w:pPr>
        <w:pStyle w:val="Nivel5"/>
        <w:numPr>
          <w:ilvl w:val="4"/>
          <w:numId w:val="1"/>
        </w:numPr>
        <w:tabs>
          <w:tab w:val="left" w:pos="0" w:leader="none"/>
          <w:tab w:val="left" w:pos="1843" w:leader="none"/>
        </w:tabs>
        <w:ind w:left="851" w:hanging="0"/>
        <w:rPr>
          <w:color w:val="000000"/>
        </w:rPr>
      </w:pPr>
      <w:r>
        <w:rPr>
          <w:color w:val="000000"/>
          <w:sz w:val="21"/>
          <w:szCs w:val="21"/>
        </w:rPr>
        <w:t>Os documentos acima deverão estar acompanhados de todas as alterações ou da consolidação respectiva.</w:t>
      </w:r>
    </w:p>
    <w:p>
      <w:pPr>
        <w:pStyle w:val="Nivel5"/>
        <w:tabs>
          <w:tab w:val="clear" w:pos="0"/>
          <w:tab w:val="left" w:pos="1843" w:leader="none"/>
        </w:tabs>
        <w:ind w:left="567" w:hanging="0"/>
        <w:rPr>
          <w:sz w:val="21"/>
          <w:szCs w:val="21"/>
        </w:rPr>
      </w:pPr>
      <w:r>
        <w:rPr>
          <w:sz w:val="21"/>
          <w:szCs w:val="21"/>
        </w:rPr>
      </w:r>
    </w:p>
    <w:p>
      <w:pPr>
        <w:pStyle w:val="Nivel4"/>
        <w:numPr>
          <w:ilvl w:val="3"/>
          <w:numId w:val="1"/>
        </w:numPr>
        <w:ind w:left="567" w:hanging="0"/>
        <w:rPr>
          <w:b/>
          <w:b/>
          <w:sz w:val="21"/>
          <w:szCs w:val="21"/>
        </w:rPr>
      </w:pPr>
      <w:r>
        <w:rPr>
          <w:b/>
          <w:sz w:val="21"/>
          <w:szCs w:val="21"/>
        </w:rPr>
        <w:t>Regularidade Fiscal e Trabalhista:</w:t>
      </w:r>
    </w:p>
    <w:p>
      <w:pPr>
        <w:pStyle w:val="Nivel3"/>
        <w:numPr>
          <w:ilvl w:val="0"/>
          <w:numId w:val="4"/>
        </w:numPr>
        <w:tabs>
          <w:tab w:val="left" w:pos="0" w:leader="none"/>
          <w:tab w:val="left" w:pos="1276" w:leader="none"/>
        </w:tabs>
        <w:ind w:left="567" w:hanging="0"/>
        <w:rPr>
          <w:sz w:val="21"/>
          <w:szCs w:val="21"/>
        </w:rPr>
      </w:pPr>
      <w:r>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pPr>
        <w:pStyle w:val="Nivel3"/>
        <w:numPr>
          <w:ilvl w:val="0"/>
          <w:numId w:val="4"/>
        </w:numPr>
        <w:tabs>
          <w:tab w:val="left" w:pos="0" w:leader="none"/>
          <w:tab w:val="left" w:pos="1276" w:leader="none"/>
        </w:tabs>
        <w:ind w:left="567" w:hanging="0"/>
        <w:rPr>
          <w:sz w:val="21"/>
          <w:szCs w:val="21"/>
        </w:rPr>
      </w:pPr>
      <w:r>
        <w:rPr>
          <w:sz w:val="21"/>
          <w:szCs w:val="21"/>
        </w:rPr>
        <w:t>Prova de regularidade para com a Fazenda Estadual, da sede ou domicílio da licitante.</w:t>
      </w:r>
    </w:p>
    <w:p>
      <w:pPr>
        <w:pStyle w:val="Nivel3"/>
        <w:numPr>
          <w:ilvl w:val="0"/>
          <w:numId w:val="4"/>
        </w:numPr>
        <w:tabs>
          <w:tab w:val="left" w:pos="0" w:leader="none"/>
          <w:tab w:val="left" w:pos="1276" w:leader="none"/>
        </w:tabs>
        <w:ind w:left="567" w:hanging="0"/>
        <w:rPr>
          <w:sz w:val="21"/>
          <w:szCs w:val="21"/>
        </w:rPr>
      </w:pPr>
      <w:r>
        <w:rPr>
          <w:sz w:val="21"/>
          <w:szCs w:val="21"/>
        </w:rPr>
        <w:t>Certidão(ões) que comprove(m) regularidade dos Tributos Municipais do domicílio  ou sede da licitante.</w:t>
      </w:r>
    </w:p>
    <w:p>
      <w:pPr>
        <w:pStyle w:val="Nivel3"/>
        <w:numPr>
          <w:ilvl w:val="0"/>
          <w:numId w:val="4"/>
        </w:numPr>
        <w:tabs>
          <w:tab w:val="left" w:pos="0" w:leader="none"/>
          <w:tab w:val="left" w:pos="1276" w:leader="none"/>
        </w:tabs>
        <w:ind w:left="567" w:hanging="0"/>
        <w:rPr/>
      </w:pPr>
      <w:commentRangeStart w:id="22"/>
      <w:r>
        <w:rPr>
          <w:color w:val="000000"/>
          <w:sz w:val="21"/>
          <w:szCs w:val="21"/>
        </w:rPr>
        <w:t>Certidão(ões) que comprove(m) regularidade dos Tributos Municipais de São José dos Pinhais.</w:t>
      </w:r>
      <w:r>
        <w:fldChar w:fldCharType="begin"/>
      </w:r>
      <w:r>
        <w:rPr>
          <w:sz w:val="21"/>
          <w:szCs w:val="21"/>
          <w:color w:val="000000"/>
        </w:rPr>
        <w:instrText> HYPERLINK "https://financas.sjp.pr.gov.br/contribuinteGateway/" \l "/certidao"</w:instrText>
      </w:r>
      <w:r>
        <w:rPr>
          <w:sz w:val="21"/>
          <w:szCs w:val="21"/>
          <w:color w:val="000000"/>
        </w:rPr>
        <w:fldChar w:fldCharType="separate"/>
      </w:r>
      <w:r>
        <w:rPr>
          <w:color w:val="000000"/>
          <w:sz w:val="21"/>
          <w:szCs w:val="21"/>
        </w:rPr>
      </w:r>
      <w:r>
        <w:rPr>
          <w:sz w:val="21"/>
          <w:szCs w:val="21"/>
          <w:color w:val="000000"/>
        </w:rPr>
        <w:fldChar w:fldCharType="end"/>
      </w:r>
      <w:commentRangeEnd w:id="22"/>
      <w:r>
        <w:commentReference w:id="22"/>
      </w:r>
      <w:r>
        <w:rPr>
          <w:rStyle w:val="LinkdaInternet"/>
          <w:color w:val="000000"/>
          <w:sz w:val="21"/>
          <w:szCs w:val="21"/>
        </w:rPr>
        <w:t>https://financas.sjp.pr.gov.br/contribuinteGateway/#/certidao</w:t>
      </w:r>
    </w:p>
    <w:p>
      <w:pPr>
        <w:pStyle w:val="Nivel3"/>
        <w:numPr>
          <w:ilvl w:val="0"/>
          <w:numId w:val="4"/>
        </w:numPr>
        <w:tabs>
          <w:tab w:val="left" w:pos="0" w:leader="none"/>
          <w:tab w:val="left" w:pos="1276" w:leader="none"/>
        </w:tabs>
        <w:ind w:left="567" w:hanging="0"/>
        <w:rPr>
          <w:color w:val="000000"/>
        </w:rPr>
      </w:pPr>
      <w:r>
        <w:rPr>
          <w:color w:val="000000"/>
          <w:sz w:val="21"/>
          <w:szCs w:val="21"/>
        </w:rPr>
        <w:t>Certidão de regularidade de CRF – perante o Fundo de Garantia por Tempo de Serviço (FGTS)</w:t>
      </w:r>
    </w:p>
    <w:p>
      <w:pPr>
        <w:pStyle w:val="Nivel3"/>
        <w:numPr>
          <w:ilvl w:val="0"/>
          <w:numId w:val="4"/>
        </w:numPr>
        <w:tabs>
          <w:tab w:val="left" w:pos="0" w:leader="none"/>
          <w:tab w:val="left" w:pos="1276" w:leader="none"/>
        </w:tabs>
        <w:spacing w:before="0" w:after="0"/>
        <w:ind w:left="567" w:hanging="0"/>
        <w:rPr/>
      </w:pPr>
      <w:r>
        <w:rPr>
          <w:color w:val="000000"/>
          <w:sz w:val="21"/>
          <w:szCs w:val="21"/>
        </w:rPr>
        <w:t xml:space="preserve">Prova de Regularidade perante a Justiça do Trabalho, em plena validade emitida através do site </w:t>
      </w:r>
      <w:hyperlink r:id="rId16">
        <w:r>
          <w:rPr>
            <w:rStyle w:val="LinkdaInternet"/>
            <w:color w:val="000000"/>
            <w:sz w:val="21"/>
            <w:szCs w:val="21"/>
          </w:rPr>
          <w:t>http://www.tst.jus.br/certidao</w:t>
        </w:r>
      </w:hyperlink>
      <w:r>
        <w:rPr>
          <w:color w:val="000000"/>
          <w:sz w:val="21"/>
          <w:szCs w:val="21"/>
        </w:rPr>
        <w:t>.</w:t>
      </w:r>
    </w:p>
    <w:p>
      <w:pPr>
        <w:pStyle w:val="Nivel3"/>
        <w:tabs>
          <w:tab w:val="clear" w:pos="0"/>
          <w:tab w:val="left" w:pos="1276" w:leader="none"/>
        </w:tabs>
        <w:spacing w:before="0" w:after="0"/>
        <w:ind w:left="567" w:hanging="0"/>
        <w:rPr>
          <w:color w:val="000000"/>
          <w:sz w:val="21"/>
          <w:szCs w:val="21"/>
        </w:rPr>
      </w:pPr>
      <w:r>
        <w:rPr>
          <w:color w:val="000000"/>
          <w:sz w:val="21"/>
          <w:szCs w:val="21"/>
        </w:rPr>
      </w:r>
    </w:p>
    <w:p>
      <w:pPr>
        <w:pStyle w:val="Nivel4"/>
        <w:numPr>
          <w:ilvl w:val="3"/>
          <w:numId w:val="1"/>
        </w:numPr>
        <w:ind w:left="567" w:hanging="0"/>
        <w:rPr>
          <w:b/>
          <w:b/>
          <w:sz w:val="21"/>
          <w:szCs w:val="21"/>
        </w:rPr>
      </w:pPr>
      <w:r>
        <w:rPr>
          <w:b/>
          <w:sz w:val="21"/>
          <w:szCs w:val="21"/>
        </w:rPr>
        <w:t>Qualificação Econômico-Financeira</w:t>
      </w:r>
    </w:p>
    <w:p>
      <w:pPr>
        <w:pStyle w:val="Nivel3"/>
        <w:numPr>
          <w:ilvl w:val="0"/>
          <w:numId w:val="5"/>
        </w:numPr>
        <w:tabs>
          <w:tab w:val="left" w:pos="0" w:leader="none"/>
          <w:tab w:val="left" w:pos="1276" w:leader="none"/>
        </w:tabs>
        <w:ind w:left="567" w:hanging="0"/>
        <w:rPr/>
      </w:pPr>
      <w:commentRangeStart w:id="23"/>
      <w:r>
        <w:rPr>
          <w:sz w:val="21"/>
          <w:szCs w:val="21"/>
        </w:rPr>
        <w:t xml:space="preserve">Certidão negativa de insolvência civil expedida pelo distribuidor do domicílio ou sede do licitante, caso se trate de pessoa física ou de sociedade simples. </w:t>
      </w:r>
      <w:commentRangeEnd w:id="23"/>
      <w:r>
        <w:commentReference w:id="23"/>
      </w:r>
      <w:r>
        <w:rPr>
          <w:sz w:val="21"/>
          <w:szCs w:val="21"/>
        </w:rPr>
      </w:r>
    </w:p>
    <w:p>
      <w:pPr>
        <w:pStyle w:val="Nivel3"/>
        <w:numPr>
          <w:ilvl w:val="0"/>
          <w:numId w:val="5"/>
        </w:numPr>
        <w:tabs>
          <w:tab w:val="left" w:pos="0" w:leader="none"/>
          <w:tab w:val="left" w:pos="1276" w:leader="none"/>
        </w:tabs>
        <w:ind w:left="567" w:hanging="0"/>
        <w:rPr>
          <w:sz w:val="21"/>
          <w:szCs w:val="21"/>
        </w:rPr>
      </w:pPr>
      <w:r>
        <w:rPr>
          <w:sz w:val="21"/>
          <w:szCs w:val="21"/>
        </w:rPr>
        <w:t xml:space="preserve">Certidão(ões) negativa(s) de pedido(s) de Falência e Recuperação Judicial, emitida(s) pelo(s) distribuidor(es) judicial(is) da sede da empresa, emitida(s) com </w:t>
      </w:r>
      <w:r>
        <w:rPr>
          <w:sz w:val="21"/>
          <w:szCs w:val="21"/>
          <w:shd w:fill="FFFFFF" w:val="clear"/>
        </w:rPr>
        <w:t>antecedência máxima de 90 (noventa) dias.</w:t>
      </w:r>
    </w:p>
    <w:p>
      <w:pPr>
        <w:pStyle w:val="Nivel4"/>
        <w:numPr>
          <w:ilvl w:val="3"/>
          <w:numId w:val="1"/>
        </w:numPr>
        <w:ind w:left="567" w:hanging="0"/>
        <w:rPr>
          <w:shd w:fill="FFFFFF" w:val="clear"/>
        </w:rPr>
      </w:pPr>
      <w:r>
        <w:rPr>
          <w:b/>
          <w:color w:val="000000"/>
          <w:sz w:val="21"/>
          <w:szCs w:val="21"/>
          <w:shd w:fill="FFFFFF" w:val="clear"/>
        </w:rPr>
        <w:t>Qualificação Técnica</w:t>
      </w:r>
    </w:p>
    <w:p>
      <w:pPr>
        <w:pStyle w:val="Nivel5"/>
        <w:numPr>
          <w:ilvl w:val="4"/>
          <w:numId w:val="1"/>
        </w:numPr>
        <w:spacing w:before="0" w:after="0"/>
        <w:ind w:left="851" w:hanging="0"/>
        <w:rPr>
          <w:shd w:fill="FFFFFF" w:val="clear"/>
        </w:rPr>
      </w:pPr>
      <w:r>
        <w:rPr>
          <w:color w:val="000000"/>
          <w:sz w:val="21"/>
          <w:szCs w:val="21"/>
          <w:shd w:fill="FFFFFF" w:val="clear"/>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5"/>
        <w:numPr>
          <w:ilvl w:val="4"/>
          <w:numId w:val="1"/>
        </w:numPr>
        <w:spacing w:before="0" w:after="0"/>
        <w:ind w:left="851" w:hanging="0"/>
        <w:rPr>
          <w:shd w:fill="FFFFFF" w:val="clear"/>
        </w:rPr>
      </w:pPr>
      <w:r>
        <w:rPr>
          <w:color w:val="000000"/>
          <w:sz w:val="21"/>
          <w:szCs w:val="21"/>
          <w:shd w:fill="FFFFFF" w:val="clear"/>
        </w:rPr>
        <w:t xml:space="preserve">Para fins da comprovação de que trata este subitem, os atestados deverão dizer respeito a contratos executados com as seguintes características mínimas: </w:t>
      </w:r>
    </w:p>
    <w:p>
      <w:pPr>
        <w:pStyle w:val="Nivel2"/>
        <w:numPr>
          <w:ilvl w:val="0"/>
          <w:numId w:val="2"/>
        </w:numPr>
        <w:tabs>
          <w:tab w:val="left" w:pos="0" w:leader="none"/>
          <w:tab w:val="left" w:pos="1168" w:leader="none"/>
          <w:tab w:val="left" w:pos="1877" w:leader="none"/>
          <w:tab w:val="left" w:pos="2410" w:leader="none"/>
        </w:tabs>
        <w:spacing w:lineRule="auto" w:line="240" w:before="0" w:after="0"/>
        <w:ind w:left="851" w:hanging="0"/>
        <w:rPr>
          <w:shd w:fill="FFFFFF" w:val="clear"/>
        </w:rPr>
      </w:pPr>
      <w:r>
        <w:rPr>
          <w:sz w:val="21"/>
          <w:szCs w:val="21"/>
          <w:shd w:fill="FFFFFF" w:val="clear"/>
        </w:rPr>
        <w:t xml:space="preserve">Apresentação de atestado de capacidade técnica, devidamente acompanhado de </w:t>
      </w:r>
      <w:r>
        <w:rPr>
          <w:shd w:fill="FFFFFF" w:val="clear"/>
        </w:rPr>
        <w:t>Certidão de Acervo Técnico (</w:t>
      </w:r>
      <w:r>
        <w:rPr>
          <w:sz w:val="21"/>
          <w:szCs w:val="21"/>
          <w:shd w:fill="FFFFFF" w:val="clear"/>
        </w:rPr>
        <w:t xml:space="preserve">CAT), considerando os itens de maior relevância técnica, deverá conter objetos similares aos seguintes pontos: </w:t>
      </w:r>
    </w:p>
    <w:p>
      <w:pPr>
        <w:pStyle w:val="Nivel2"/>
        <w:tabs>
          <w:tab w:val="left" w:pos="0" w:leader="none"/>
          <w:tab w:val="left" w:pos="1168" w:leader="none"/>
          <w:tab w:val="left" w:pos="1877" w:leader="none"/>
          <w:tab w:val="left" w:pos="2410" w:leader="none"/>
        </w:tabs>
        <w:spacing w:lineRule="auto" w:line="240" w:before="0" w:after="0"/>
        <w:ind w:left="1812" w:hanging="0"/>
        <w:rPr>
          <w:shd w:fill="FFFFFF" w:val="clear"/>
        </w:rPr>
      </w:pPr>
      <w:r>
        <w:rPr>
          <w:sz w:val="21"/>
          <w:szCs w:val="21"/>
          <w:shd w:fill="FFFFFF" w:val="clear"/>
        </w:rPr>
        <w:t xml:space="preserve">i) Fornecimento e implantação de 06 (seis) equipamentos de iluminação a LED; (itens 01 e 18) </w:t>
      </w:r>
    </w:p>
    <w:p>
      <w:pPr>
        <w:pStyle w:val="Nivel2"/>
        <w:tabs>
          <w:tab w:val="left" w:pos="0" w:leader="none"/>
          <w:tab w:val="left" w:pos="1168" w:leader="none"/>
          <w:tab w:val="left" w:pos="1877" w:leader="none"/>
          <w:tab w:val="left" w:pos="2410" w:leader="none"/>
        </w:tabs>
        <w:spacing w:lineRule="auto" w:line="240" w:before="0" w:after="0"/>
        <w:ind w:left="1812" w:hanging="0"/>
        <w:rPr>
          <w:shd w:fill="FFFFFF" w:val="clear"/>
        </w:rPr>
      </w:pPr>
      <w:r>
        <w:rPr>
          <w:sz w:val="21"/>
          <w:szCs w:val="21"/>
          <w:shd w:fill="FFFFFF" w:val="clear"/>
        </w:rPr>
        <w:t xml:space="preserve">ii) Fornecimento e implantação de 20 (vinte) placas de sinalização viária vertical; (itens 07,08, 24 e 25) </w:t>
      </w:r>
    </w:p>
    <w:p>
      <w:pPr>
        <w:pStyle w:val="Nivel2"/>
        <w:tabs>
          <w:tab w:val="left" w:pos="0" w:leader="none"/>
          <w:tab w:val="left" w:pos="1168" w:leader="none"/>
          <w:tab w:val="left" w:pos="1877" w:leader="none"/>
          <w:tab w:val="left" w:pos="2410" w:leader="none"/>
        </w:tabs>
        <w:spacing w:lineRule="auto" w:line="240" w:before="0" w:after="0"/>
        <w:ind w:left="1812" w:hanging="0"/>
        <w:rPr>
          <w:shd w:fill="FFFFFF" w:val="clear"/>
        </w:rPr>
      </w:pPr>
      <w:r>
        <w:rPr>
          <w:sz w:val="21"/>
          <w:szCs w:val="21"/>
          <w:shd w:fill="FFFFFF" w:val="clear"/>
        </w:rPr>
        <w:t>iii) Fornecimento e Implantação/Instalação de 20 (vinte) estruturas metálicas projetadas sobre a via; (itens 12, item 13 e item 14, considerando o conjunto de coluna e braço projetado)</w:t>
      </w:r>
    </w:p>
    <w:p>
      <w:pPr>
        <w:pStyle w:val="Nivel2"/>
        <w:tabs>
          <w:tab w:val="left" w:pos="0" w:leader="none"/>
          <w:tab w:val="left" w:pos="1168" w:leader="none"/>
          <w:tab w:val="left" w:pos="1877" w:leader="none"/>
          <w:tab w:val="left" w:pos="2410" w:leader="none"/>
        </w:tabs>
        <w:spacing w:lineRule="auto" w:line="240" w:before="0" w:after="0"/>
        <w:ind w:left="1812" w:hanging="0"/>
        <w:rPr>
          <w:shd w:fill="FFFFFF" w:val="clear"/>
        </w:rPr>
      </w:pPr>
      <w:r>
        <w:rPr>
          <w:sz w:val="21"/>
          <w:szCs w:val="21"/>
          <w:shd w:fill="FFFFFF" w:val="clear"/>
        </w:rPr>
        <w:t xml:space="preserve">iv) Fornecimento e implantação de 09 (nove) equipamentos com alimentação fotovoltaica off-grid. (itens 04 e 10). </w:t>
      </w:r>
    </w:p>
    <w:p>
      <w:pPr>
        <w:pStyle w:val="Nivel2"/>
        <w:numPr>
          <w:ilvl w:val="0"/>
          <w:numId w:val="2"/>
        </w:numPr>
        <w:tabs>
          <w:tab w:val="left" w:pos="0" w:leader="none"/>
          <w:tab w:val="left" w:pos="1168" w:leader="none"/>
          <w:tab w:val="left" w:pos="1877" w:leader="none"/>
          <w:tab w:val="left" w:pos="2410" w:leader="none"/>
        </w:tabs>
        <w:spacing w:lineRule="auto" w:line="240" w:before="0" w:after="0"/>
        <w:ind w:left="851" w:hanging="0"/>
        <w:rPr>
          <w:shd w:fill="FFFFFF" w:val="clear"/>
        </w:rPr>
      </w:pPr>
      <w:r>
        <w:rPr>
          <w:sz w:val="21"/>
          <w:szCs w:val="21"/>
          <w:shd w:fill="FFFFFF" w:val="clear"/>
        </w:rPr>
        <w:t xml:space="preserve">Deverá ser comprovado vínculo de profissional devidamente registrado no Conselho Regional de Engenharia e Agronomia (CREA), mediante a apresentação de um dos comprovantes infra: </w:t>
      </w:r>
    </w:p>
    <w:p>
      <w:pPr>
        <w:pStyle w:val="Nivel2"/>
        <w:tabs>
          <w:tab w:val="left" w:pos="0" w:leader="none"/>
          <w:tab w:val="left" w:pos="1168" w:leader="none"/>
          <w:tab w:val="left" w:pos="1877" w:leader="none"/>
          <w:tab w:val="left" w:pos="2410" w:leader="none"/>
        </w:tabs>
        <w:spacing w:lineRule="auto" w:line="240" w:before="0" w:after="0"/>
        <w:ind w:left="1812" w:hanging="0"/>
        <w:rPr>
          <w:shd w:fill="FFFFFF" w:val="clear"/>
        </w:rPr>
      </w:pPr>
      <w:r>
        <w:rPr>
          <w:sz w:val="21"/>
          <w:szCs w:val="21"/>
          <w:shd w:fill="FFFFFF" w:val="clear"/>
        </w:rPr>
        <w:t xml:space="preserve">i) Contrato de Prestação de Serviços; </w:t>
      </w:r>
    </w:p>
    <w:p>
      <w:pPr>
        <w:pStyle w:val="Nivel2"/>
        <w:tabs>
          <w:tab w:val="left" w:pos="0" w:leader="none"/>
          <w:tab w:val="left" w:pos="1168" w:leader="none"/>
          <w:tab w:val="left" w:pos="1877" w:leader="none"/>
          <w:tab w:val="left" w:pos="2410" w:leader="none"/>
        </w:tabs>
        <w:spacing w:lineRule="auto" w:line="240" w:before="0" w:after="0"/>
        <w:ind w:left="1812" w:hanging="0"/>
        <w:rPr>
          <w:shd w:fill="FFFFFF" w:val="clear"/>
        </w:rPr>
      </w:pPr>
      <w:r>
        <w:rPr>
          <w:sz w:val="21"/>
          <w:szCs w:val="21"/>
          <w:shd w:fill="FFFFFF" w:val="clear"/>
        </w:rPr>
        <w:t xml:space="preserve">ii) Vínculo empregatício (Carteira assinada); </w:t>
      </w:r>
    </w:p>
    <w:p>
      <w:pPr>
        <w:pStyle w:val="Nivel2"/>
        <w:tabs>
          <w:tab w:val="left" w:pos="0" w:leader="none"/>
          <w:tab w:val="left" w:pos="1168" w:leader="none"/>
          <w:tab w:val="left" w:pos="1877" w:leader="none"/>
          <w:tab w:val="left" w:pos="2410" w:leader="none"/>
        </w:tabs>
        <w:spacing w:lineRule="auto" w:line="240" w:before="0" w:after="0"/>
        <w:ind w:left="1812" w:hanging="0"/>
        <w:rPr>
          <w:shd w:fill="FFFFFF" w:val="clear"/>
        </w:rPr>
      </w:pPr>
      <w:r>
        <w:rPr>
          <w:sz w:val="21"/>
          <w:szCs w:val="21"/>
          <w:shd w:fill="FFFFFF" w:val="clear"/>
        </w:rPr>
        <w:t xml:space="preserve">iii) Comprovação de que é sócio (Contrato Social) </w:t>
      </w:r>
    </w:p>
    <w:p>
      <w:pPr>
        <w:pStyle w:val="Nivel2"/>
        <w:numPr>
          <w:ilvl w:val="0"/>
          <w:numId w:val="2"/>
        </w:numPr>
        <w:tabs>
          <w:tab w:val="left" w:pos="0" w:leader="none"/>
          <w:tab w:val="left" w:pos="1168" w:leader="none"/>
          <w:tab w:val="left" w:pos="1877" w:leader="none"/>
          <w:tab w:val="left" w:pos="2410" w:leader="none"/>
        </w:tabs>
        <w:spacing w:lineRule="auto" w:line="240" w:before="0" w:after="0"/>
        <w:ind w:left="851" w:hanging="0"/>
        <w:rPr>
          <w:shd w:fill="FFFFFF" w:val="clear"/>
        </w:rPr>
      </w:pPr>
      <w:r>
        <w:rPr>
          <w:sz w:val="21"/>
          <w:szCs w:val="21"/>
          <w:shd w:fill="FFFFFF" w:val="clear"/>
        </w:rPr>
        <w:t xml:space="preserve">Deverá ser comprovado vínculo de profissional devidamente registrado no Conselho Regional de Engenharia e Agronomia (CREA), mediante a apresentação de um dos comprovantes infra: </w:t>
      </w:r>
    </w:p>
    <w:p>
      <w:pPr>
        <w:pStyle w:val="Nivel2"/>
        <w:tabs>
          <w:tab w:val="left" w:pos="0" w:leader="none"/>
          <w:tab w:val="left" w:pos="1168" w:leader="none"/>
          <w:tab w:val="left" w:pos="1877" w:leader="none"/>
          <w:tab w:val="left" w:pos="2410" w:leader="none"/>
        </w:tabs>
        <w:spacing w:lineRule="auto" w:line="240" w:before="0" w:after="0"/>
        <w:ind w:left="1812" w:hanging="0"/>
        <w:rPr>
          <w:shd w:fill="FFFFFF" w:val="clear"/>
        </w:rPr>
      </w:pPr>
      <w:r>
        <w:rPr>
          <w:sz w:val="21"/>
          <w:szCs w:val="21"/>
          <w:shd w:fill="FFFFFF" w:val="clear"/>
        </w:rPr>
        <w:t xml:space="preserve">i) Contrato de Prestação de Serviços; </w:t>
      </w:r>
    </w:p>
    <w:p>
      <w:pPr>
        <w:pStyle w:val="Nivel2"/>
        <w:tabs>
          <w:tab w:val="left" w:pos="0" w:leader="none"/>
          <w:tab w:val="left" w:pos="1168" w:leader="none"/>
          <w:tab w:val="left" w:pos="1877" w:leader="none"/>
          <w:tab w:val="left" w:pos="2410" w:leader="none"/>
        </w:tabs>
        <w:spacing w:lineRule="auto" w:line="240" w:before="0" w:after="0"/>
        <w:ind w:left="1812" w:hanging="0"/>
        <w:rPr>
          <w:shd w:fill="FFFFFF" w:val="clear"/>
        </w:rPr>
      </w:pPr>
      <w:r>
        <w:rPr>
          <w:sz w:val="21"/>
          <w:szCs w:val="21"/>
          <w:shd w:fill="FFFFFF" w:val="clear"/>
        </w:rPr>
        <w:t xml:space="preserve">ii) Vínculo empregatício (Carteira assinada); </w:t>
      </w:r>
    </w:p>
    <w:p>
      <w:pPr>
        <w:pStyle w:val="Nivel2"/>
        <w:tabs>
          <w:tab w:val="left" w:pos="0" w:leader="none"/>
          <w:tab w:val="left" w:pos="1168" w:leader="none"/>
          <w:tab w:val="left" w:pos="1877" w:leader="none"/>
          <w:tab w:val="left" w:pos="2410" w:leader="none"/>
        </w:tabs>
        <w:spacing w:lineRule="auto" w:line="240" w:before="0" w:after="0"/>
        <w:ind w:left="1812" w:hanging="0"/>
        <w:rPr>
          <w:shd w:fill="FFFFFF" w:val="clear"/>
        </w:rPr>
      </w:pPr>
      <w:r>
        <w:rPr>
          <w:sz w:val="21"/>
          <w:szCs w:val="21"/>
          <w:shd w:fill="FFFFFF" w:val="clear"/>
        </w:rPr>
        <w:t xml:space="preserve">iii) Comprovação de que é sócio (Contrato Social) </w:t>
      </w:r>
    </w:p>
    <w:p>
      <w:pPr>
        <w:pStyle w:val="Nivel5"/>
        <w:numPr>
          <w:ilvl w:val="4"/>
          <w:numId w:val="1"/>
        </w:numPr>
        <w:ind w:left="851" w:hanging="0"/>
        <w:rPr>
          <w:shd w:fill="FFFFFF" w:val="clear"/>
        </w:rPr>
      </w:pPr>
      <w:r>
        <w:rPr>
          <w:color w:val="000000"/>
          <w:sz w:val="21"/>
          <w:szCs w:val="21"/>
          <w:shd w:fill="FFFFFF" w:val="clear"/>
        </w:rPr>
        <w:t>Será admitida, para fins de comprovação de quantitativo mínimo, a apresentação e o somatório de diferentes atestados executados de forma concomitante.</w:t>
      </w:r>
    </w:p>
    <w:p>
      <w:pPr>
        <w:pStyle w:val="Nivel5"/>
        <w:numPr>
          <w:ilvl w:val="4"/>
          <w:numId w:val="1"/>
        </w:numPr>
        <w:ind w:left="851" w:hanging="0"/>
        <w:rPr>
          <w:shd w:fill="FFFFFF" w:val="clear"/>
        </w:rPr>
      </w:pPr>
      <w:r>
        <w:rPr>
          <w:color w:val="000000"/>
          <w:sz w:val="21"/>
          <w:szCs w:val="21"/>
          <w:shd w:fill="FFFFFF" w:val="clear"/>
        </w:rPr>
        <w:t>Os atestados de capacidade técnica poderão ser apresentados em nome da matriz ou da filial do fornecedor.</w:t>
      </w:r>
    </w:p>
    <w:p>
      <w:pPr>
        <w:pStyle w:val="Nivel5"/>
        <w:numPr>
          <w:ilvl w:val="4"/>
          <w:numId w:val="1"/>
        </w:numPr>
        <w:ind w:left="851" w:hanging="0"/>
        <w:rPr>
          <w:shd w:fill="FFFFFF" w:val="clear"/>
        </w:rPr>
      </w:pPr>
      <w:r>
        <w:rPr>
          <w:color w:val="000000"/>
          <w:sz w:val="21"/>
          <w:szCs w:val="21"/>
          <w:shd w:fill="FFFFFF" w:val="clea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4"/>
        <w:numPr>
          <w:ilvl w:val="3"/>
          <w:numId w:val="1"/>
        </w:numPr>
        <w:ind w:left="567" w:hanging="0"/>
        <w:rPr>
          <w:shd w:fill="FFFFFF" w:val="clear"/>
        </w:rPr>
      </w:pPr>
      <w:commentRangeStart w:id="24"/>
      <w:r>
        <w:rPr>
          <w:color w:val="000000"/>
          <w:sz w:val="21"/>
          <w:szCs w:val="21"/>
          <w:shd w:fill="FFFFFF" w:val="clear"/>
        </w:rPr>
        <w:t>A qualificação técnica apresentada passará por análise técnica pela Secretaria Municipal de Transportes e Trânsito, a qual detém conhecimento específico do objeto licitado, e responsabilizará pela HABILITAÇÃO ou INABILITAÇÃO neste quesito.</w:t>
      </w:r>
      <w:commentRangeEnd w:id="24"/>
      <w:r>
        <w:commentReference w:id="24"/>
      </w:r>
      <w:r>
        <w:rPr>
          <w:color w:val="000000"/>
          <w:sz w:val="21"/>
          <w:szCs w:val="21"/>
          <w:shd w:fill="FFFFFF" w:val="clear"/>
        </w:rPr>
      </w:r>
    </w:p>
    <w:p>
      <w:pPr>
        <w:pStyle w:val="Nivel2"/>
        <w:numPr>
          <w:ilvl w:val="1"/>
          <w:numId w:val="1"/>
        </w:numPr>
        <w:ind w:left="0" w:hanging="0"/>
        <w:rPr/>
      </w:pPr>
      <w:r>
        <w:rPr>
          <w:color w:val="auto"/>
          <w:sz w:val="21"/>
          <w:szCs w:val="21"/>
        </w:rPr>
        <w:t xml:space="preserve">Quando </w:t>
      </w:r>
      <w:r>
        <w:rPr>
          <w:sz w:val="21"/>
          <w:szCs w:val="21"/>
        </w:rPr>
        <w:t>permitid</w:t>
      </w:r>
      <w:r>
        <w:rPr>
          <w:color w:val="auto"/>
          <w:sz w:val="21"/>
          <w:szCs w:val="21"/>
        </w:rPr>
        <w:t xml:space="preserve">a a </w:t>
      </w:r>
      <w:r>
        <w:rPr>
          <w:sz w:val="21"/>
          <w:szCs w:val="21"/>
        </w:rPr>
        <w:t>participação de empresas estrangeiras que não funcionem no País, as exigências de habilitação serão atendidas mediante documentos equivalentes, inicialmente apresentados em tradução livre</w:t>
      </w:r>
      <w:r>
        <w:rPr>
          <w:i/>
          <w:sz w:val="21"/>
          <w:szCs w:val="21"/>
        </w:rPr>
        <w:t>.</w:t>
      </w:r>
    </w:p>
    <w:p>
      <w:pPr>
        <w:pStyle w:val="Nivel2"/>
        <w:numPr>
          <w:ilvl w:val="1"/>
          <w:numId w:val="1"/>
        </w:numPr>
        <w:ind w:left="0" w:hanging="0"/>
        <w:rPr/>
      </w:pPr>
      <w:r>
        <w:rPr>
          <w:sz w:val="21"/>
          <w:szCs w:val="21"/>
        </w:rPr>
        <w:t>Na hipótese de o licitante vencedor ser empresa estrangeira que não funcione no País, para fins de assina</w:t>
      </w:r>
      <w:r>
        <w:rPr>
          <w:color w:val="000000"/>
          <w:sz w:val="21"/>
          <w:szCs w:val="21"/>
        </w:rPr>
        <w:t xml:space="preserve">tura do contrato ou da ata de registro de preços, os documentos exigidos para a habilitação serão traduzidos por tradutor juramentado no País e apostilados nos termos do disposto no </w:t>
      </w:r>
      <w:hyperlink r:id="rId17">
        <w:r>
          <w:rPr>
            <w:rStyle w:val="LinkdaInternet"/>
            <w:color w:val="000000"/>
            <w:sz w:val="21"/>
            <w:szCs w:val="21"/>
          </w:rPr>
          <w:t>Decreto nº 8.660, de 29 de janeiro de 2016</w:t>
        </w:r>
      </w:hyperlink>
      <w:r>
        <w:rPr>
          <w:color w:val="000000"/>
          <w:sz w:val="21"/>
          <w:szCs w:val="21"/>
        </w:rPr>
        <w:t xml:space="preserve">, ou de </w:t>
      </w:r>
      <w:r>
        <w:rPr>
          <w:sz w:val="21"/>
          <w:szCs w:val="21"/>
        </w:rPr>
        <w:t>outro que venha a substituí-lo, ou consularizados pelos respectivos consulados ou embaixadas.</w:t>
      </w:r>
    </w:p>
    <w:p>
      <w:pPr>
        <w:pStyle w:val="Nivel2"/>
        <w:numPr>
          <w:ilvl w:val="1"/>
          <w:numId w:val="1"/>
        </w:numPr>
        <w:ind w:left="0" w:hanging="0"/>
        <w:rPr/>
      </w:pPr>
      <w:commentRangeStart w:id="25"/>
      <w:r>
        <w:rPr>
          <w:sz w:val="21"/>
          <w:szCs w:val="21"/>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1"/>
          <w:szCs w:val="21"/>
        </w:rPr>
        <w:instrText> HYPERLINK "http://www.planalto.gov.br/ccivil_03/_ato2019-2022/2021/lei/L14133.htm" \l "art63"</w:instrText>
      </w:r>
      <w:r>
        <w:rPr>
          <w:rStyle w:val="LinkdaInternet"/>
          <w:sz w:val="21"/>
          <w:szCs w:val="21"/>
        </w:rPr>
        <w:fldChar w:fldCharType="separate"/>
      </w:r>
      <w:r>
        <w:rPr>
          <w:rStyle w:val="LinkdaInternet"/>
          <w:sz w:val="21"/>
          <w:szCs w:val="21"/>
        </w:rPr>
        <w:t>art. 63, I, da Lei nº 14.133/2021</w:t>
      </w:r>
      <w:r>
        <w:rPr>
          <w:rStyle w:val="LinkdaInternet"/>
          <w:sz w:val="21"/>
          <w:szCs w:val="21"/>
        </w:rPr>
        <w:fldChar w:fldCharType="end"/>
      </w:r>
      <w:r>
        <w:rPr>
          <w:sz w:val="21"/>
          <w:szCs w:val="21"/>
        </w:rPr>
        <w:t>).</w:t>
      </w:r>
      <w:commentRangeEnd w:id="25"/>
      <w:r>
        <w:commentReference w:id="25"/>
      </w:r>
      <w:r>
        <w:rPr>
          <w:sz w:val="21"/>
          <w:szCs w:val="21"/>
        </w:rPr>
      </w:r>
    </w:p>
    <w:p>
      <w:pPr>
        <w:pStyle w:val="Nivel2"/>
        <w:numPr>
          <w:ilvl w:val="1"/>
          <w:numId w:val="1"/>
        </w:numPr>
        <w:ind w:left="0" w:hanging="0"/>
        <w:rPr>
          <w:sz w:val="21"/>
          <w:szCs w:val="21"/>
        </w:rPr>
      </w:pPr>
      <w:r>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sz w:val="21"/>
          <w:szCs w:val="21"/>
        </w:rPr>
      </w:pPr>
      <w:r>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left="0" w:hanging="0"/>
        <w:rPr>
          <w:sz w:val="21"/>
          <w:szCs w:val="21"/>
        </w:rPr>
      </w:pPr>
      <w:r>
        <w:rPr>
          <w:sz w:val="21"/>
          <w:szCs w:val="21"/>
        </w:rPr>
        <w:t>A habilitação será verificada por meio do SICAF, nos documentos por ele abrangidos.</w:t>
      </w:r>
    </w:p>
    <w:p>
      <w:pPr>
        <w:pStyle w:val="Nivel3"/>
        <w:numPr>
          <w:ilvl w:val="2"/>
          <w:numId w:val="1"/>
        </w:numPr>
        <w:tabs>
          <w:tab w:val="left" w:pos="0" w:leader="none"/>
          <w:tab w:val="left" w:pos="1134" w:leader="none"/>
        </w:tabs>
        <w:ind w:left="284" w:hanging="0"/>
        <w:rPr/>
      </w:pPr>
      <w:r>
        <w:rPr>
          <w:sz w:val="21"/>
          <w:szCs w:val="21"/>
        </w:rPr>
        <w:t>Somen</w:t>
      </w:r>
      <w:r>
        <w:rPr>
          <w:color w:val="000000"/>
          <w:sz w:val="21"/>
          <w:szCs w:val="21"/>
        </w:rPr>
        <w:t>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1"/>
          <w:szCs w:val="21"/>
          <w:color w:val="000000"/>
        </w:rPr>
        <w:instrText> HYPERLINK "https://www.gov.br/compras/pt-br/acesso-a-informacao/legislacao/instrucoes-normativas/instrucao-normativa-no-3-de-26-de-abril-de-2018" \l "art4"</w:instrText>
      </w:r>
      <w:r>
        <w:rPr>
          <w:rStyle w:val="LinkdaInternet"/>
          <w:sz w:val="21"/>
          <w:szCs w:val="21"/>
          <w:color w:val="000000"/>
        </w:rPr>
        <w:fldChar w:fldCharType="separate"/>
      </w:r>
      <w:r>
        <w:rPr>
          <w:rStyle w:val="LinkdaInternet"/>
          <w:color w:val="000000"/>
          <w:sz w:val="21"/>
          <w:szCs w:val="21"/>
        </w:rPr>
        <w:t>IN nº 3/2018, art. 4º, §1º, e art. 6º, §4º</w:t>
      </w:r>
      <w:r>
        <w:rPr>
          <w:rStyle w:val="LinkdaInternet"/>
          <w:sz w:val="21"/>
          <w:szCs w:val="21"/>
          <w:color w:val="000000"/>
        </w:rPr>
        <w:fldChar w:fldCharType="end"/>
      </w:r>
      <w:r>
        <w:rPr>
          <w:color w:val="000000"/>
          <w:sz w:val="21"/>
          <w:szCs w:val="21"/>
        </w:rPr>
        <w:t>).</w:t>
      </w:r>
    </w:p>
    <w:p>
      <w:pPr>
        <w:pStyle w:val="Nivel2"/>
        <w:numPr>
          <w:ilvl w:val="1"/>
          <w:numId w:val="1"/>
        </w:numPr>
        <w:ind w:left="0" w:hanging="0"/>
        <w:rPr/>
      </w:pPr>
      <w:r>
        <w:rPr>
          <w:sz w:val="21"/>
          <w:szCs w:val="21"/>
        </w:rPr>
        <w:t>É de responsabilidade do licitante conferir a exatidão dos seus dados cadastrais no SICAF e mantê-los atualizad</w:t>
      </w:r>
      <w:r>
        <w:rPr>
          <w:color w:val="000000"/>
          <w:sz w:val="21"/>
          <w:szCs w:val="21"/>
        </w:rPr>
        <w:t>os junto aos órgãos responsáveis pela informação, devendo proceder, imediatamente, à correção ou à alteração dos registros tão logo identifique incorreção ou aqueles se tornem desatualizados. (</w:t>
      </w:r>
      <w:hyperlink r:id="rId18">
        <w:r>
          <w:rPr>
            <w:rStyle w:val="LinkdaInternet"/>
            <w:color w:val="000000"/>
            <w:sz w:val="21"/>
            <w:szCs w:val="21"/>
          </w:rPr>
          <w:t xml:space="preserve">IN nº 3/2018, art. 7º, </w:t>
        </w:r>
      </w:hyperlink>
      <w:hyperlink r:id="rId19">
        <w:r>
          <w:rPr>
            <w:rStyle w:val="LinkdaInternet"/>
            <w:i/>
            <w:iCs/>
            <w:color w:val="000000"/>
            <w:sz w:val="21"/>
            <w:szCs w:val="21"/>
          </w:rPr>
          <w:t>caput</w:t>
        </w:r>
      </w:hyperlink>
      <w:r>
        <w:rPr>
          <w:color w:val="000000"/>
          <w:sz w:val="21"/>
          <w:szCs w:val="21"/>
        </w:rPr>
        <w:t>).</w:t>
      </w:r>
    </w:p>
    <w:p>
      <w:pPr>
        <w:pStyle w:val="Nivel3"/>
        <w:numPr>
          <w:ilvl w:val="2"/>
          <w:numId w:val="1"/>
        </w:numPr>
        <w:tabs>
          <w:tab w:val="left" w:pos="0" w:leader="none"/>
          <w:tab w:val="left" w:pos="1134" w:leader="none"/>
        </w:tabs>
        <w:ind w:left="284" w:hanging="0"/>
        <w:rPr/>
      </w:pPr>
      <w:r>
        <w:rPr>
          <w:color w:val="000000"/>
          <w:sz w:val="21"/>
          <w:szCs w:val="21"/>
        </w:rPr>
        <w:t>A não observância do disposto no item anterior poderá ensejar inabilitação no momento da habilitação. (</w:t>
      </w:r>
      <w:hyperlink r:id="rId20">
        <w:r>
          <w:rPr>
            <w:rStyle w:val="LinkdaInternet"/>
            <w:color w:val="000000"/>
            <w:sz w:val="21"/>
            <w:szCs w:val="21"/>
          </w:rPr>
          <w:t>IN nº 3/2018, art. 7º, parágrafo único</w:t>
        </w:r>
      </w:hyperlink>
      <w:r>
        <w:rPr>
          <w:color w:val="000000"/>
          <w:sz w:val="21"/>
          <w:szCs w:val="21"/>
        </w:rPr>
        <w:t>).</w:t>
      </w:r>
    </w:p>
    <w:p>
      <w:pPr>
        <w:pStyle w:val="Nivel2"/>
        <w:numPr>
          <w:ilvl w:val="1"/>
          <w:numId w:val="1"/>
        </w:numPr>
        <w:ind w:left="0" w:hanging="0"/>
        <w:rPr>
          <w:color w:val="000000"/>
        </w:rPr>
      </w:pPr>
      <w:r>
        <w:rPr>
          <w:color w:val="000000"/>
          <w:sz w:val="21"/>
          <w:szCs w:val="21"/>
        </w:rPr>
        <w:t>A verificação pelo pregoeiro, em sítios eletrônicos oficiais de órgãos e entidades emissores de certidões constitui meio legal de prova, para fins de habilitação.</w:t>
      </w:r>
    </w:p>
    <w:p>
      <w:pPr>
        <w:pStyle w:val="Nivel3"/>
        <w:numPr>
          <w:ilvl w:val="2"/>
          <w:numId w:val="1"/>
        </w:numPr>
        <w:tabs>
          <w:tab w:val="left" w:pos="0" w:leader="none"/>
          <w:tab w:val="left" w:pos="1134" w:leader="none"/>
        </w:tabs>
        <w:ind w:left="284" w:hanging="0"/>
        <w:rPr>
          <w:color w:val="000000"/>
        </w:rPr>
      </w:pPr>
      <w:bookmarkStart w:id="42" w:name="_Ref114663151"/>
      <w:r>
        <w:rPr>
          <w:color w:val="000000"/>
          <w:sz w:val="21"/>
          <w:szCs w:val="21"/>
        </w:rPr>
        <w:t xml:space="preserve">Os documentos exigidos para habilitação que não estejam contemplados no SICAF serão enviados por meio do sistema, em formato digital, no prazo de </w:t>
      </w:r>
      <w:r>
        <w:rPr>
          <w:b/>
          <w:color w:val="000000"/>
          <w:sz w:val="21"/>
          <w:szCs w:val="21"/>
        </w:rPr>
        <w:t>NO MÍNIMO, 02 (DUAS) HORAS</w:t>
      </w:r>
      <w:r>
        <w:rPr>
          <w:color w:val="000000"/>
          <w:sz w:val="21"/>
          <w:szCs w:val="21"/>
        </w:rPr>
        <w:t>, prorrogável por igual período, contado da solicitação do pregoeiro.</w:t>
      </w:r>
      <w:bookmarkEnd w:id="42"/>
    </w:p>
    <w:p>
      <w:pPr>
        <w:pStyle w:val="Nivel3"/>
        <w:numPr>
          <w:ilvl w:val="2"/>
          <w:numId w:val="1"/>
        </w:numPr>
        <w:tabs>
          <w:tab w:val="left" w:pos="0" w:leader="none"/>
          <w:tab w:val="left" w:pos="1134" w:leader="none"/>
        </w:tabs>
        <w:ind w:left="284" w:hanging="0"/>
        <w:rPr/>
      </w:pPr>
      <w:r>
        <w:rPr>
          <w:color w:val="000000"/>
          <w:sz w:val="21"/>
          <w:szCs w:val="21"/>
        </w:rPr>
        <w:t>Na hipótese de a fase de habilitação a</w:t>
      </w:r>
      <w:r>
        <w:rPr>
          <w:sz w:val="21"/>
          <w:szCs w:val="21"/>
        </w:rPr>
        <w:t>nteceder a fase de apresentação de propostas e lances, os li</w:t>
      </w:r>
      <w:r>
        <w:rPr>
          <w:color w:val="000000"/>
          <w:sz w:val="21"/>
          <w:szCs w:val="21"/>
        </w:rPr>
        <w:t>citantes encaminharão, por meio do sistema, simultaneamente os documentos de hab</w:t>
      </w:r>
      <w:r>
        <w:rPr>
          <w:i w:val="false"/>
          <w:iCs w:val="false"/>
          <w:color w:val="000000"/>
          <w:sz w:val="21"/>
          <w:szCs w:val="21"/>
        </w:rPr>
        <w:t xml:space="preserve">ilitação e a proposta com o preço ou o percentual de desconto, observado o disposto no </w:t>
      </w:r>
      <w:hyperlink r:id="rId21">
        <w:r>
          <w:rPr>
            <w:rStyle w:val="LinkdaInternet"/>
            <w:i w:val="false"/>
            <w:iCs w:val="false"/>
            <w:color w:val="000000"/>
            <w:sz w:val="21"/>
            <w:szCs w:val="21"/>
          </w:rPr>
          <w:t xml:space="preserve">§ 1º do art. 36 e no § 1º do art. 39 da </w:t>
        </w:r>
      </w:hyperlink>
      <w:hyperlink r:id="rId22">
        <w:r>
          <w:rPr>
            <w:rStyle w:val="LinkdaInternet"/>
            <w:i w:val="false"/>
            <w:iCs w:val="false"/>
            <w:color w:val="000000"/>
            <w:sz w:val="21"/>
            <w:szCs w:val="21"/>
          </w:rPr>
          <w:t>Instrução Normativa SEGES nº 73, de 30 de setembro de 2022</w:t>
        </w:r>
      </w:hyperlink>
      <w:hyperlink r:id="rId23">
        <w:r>
          <w:rPr>
            <w:rStyle w:val="LinkdaInternet"/>
            <w:i w:val="false"/>
            <w:iCs w:val="false"/>
            <w:color w:val="000000"/>
            <w:sz w:val="21"/>
            <w:szCs w:val="21"/>
          </w:rPr>
          <w:t>.</w:t>
        </w:r>
      </w:hyperlink>
    </w:p>
    <w:p>
      <w:pPr>
        <w:pStyle w:val="Nivel2"/>
        <w:numPr>
          <w:ilvl w:val="1"/>
          <w:numId w:val="1"/>
        </w:numPr>
        <w:ind w:left="0" w:hanging="0"/>
        <w:rPr>
          <w:color w:val="000000"/>
        </w:rPr>
      </w:pPr>
      <w:r>
        <w:rPr>
          <w:color w:val="000000"/>
          <w:sz w:val="21"/>
          <w:szCs w:val="21"/>
        </w:rPr>
        <w:t>A verificação no SICAF ou a exigência dos documentos nele não contidos somente será feita em relação ao licitante vencedor.</w:t>
      </w:r>
    </w:p>
    <w:p>
      <w:pPr>
        <w:pStyle w:val="Nivel3"/>
        <w:numPr>
          <w:ilvl w:val="2"/>
          <w:numId w:val="1"/>
        </w:numPr>
        <w:tabs>
          <w:tab w:val="left" w:pos="0" w:leader="none"/>
          <w:tab w:val="left" w:pos="1134" w:leader="none"/>
        </w:tabs>
        <w:ind w:left="284" w:hanging="0"/>
        <w:rPr>
          <w:color w:val="000000"/>
        </w:rPr>
      </w:pPr>
      <w:r>
        <w:rPr>
          <w:color w:val="000000"/>
          <w:sz w:val="21"/>
          <w:szCs w:val="21"/>
        </w:rPr>
        <w:t>Os documentos relativos à regularidade fiscal somente serão exigidos, em qualquer caso, em momento posterior ao julgamento das propostas, e apenas do licitante mais bem classificado.</w:t>
      </w:r>
    </w:p>
    <w:p>
      <w:pPr>
        <w:pStyle w:val="Nivel3"/>
        <w:numPr>
          <w:ilvl w:val="2"/>
          <w:numId w:val="1"/>
        </w:numPr>
        <w:tabs>
          <w:tab w:val="left" w:pos="0" w:leader="none"/>
          <w:tab w:val="left" w:pos="1134" w:leader="none"/>
        </w:tabs>
        <w:ind w:left="284" w:hanging="0"/>
        <w:rPr>
          <w:color w:val="000000"/>
        </w:rPr>
      </w:pPr>
      <w:r>
        <w:rPr>
          <w:color w:val="000000"/>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pPr>
      <w:commentRangeStart w:id="26"/>
      <w:r>
        <w:rPr>
          <w:color w:val="000000"/>
          <w:sz w:val="21"/>
          <w:szCs w:val="21"/>
        </w:rPr>
        <w:t>Após a entrega dos documentos para habilitação, não será permitida a substituição ou a apresentação de novos documentos, salvo em sede de diligência, para (</w:t>
      </w:r>
      <w:r>
        <w:fldChar w:fldCharType="begin"/>
      </w:r>
      <w:r>
        <w:rPr>
          <w:rStyle w:val="LinkdaInternet"/>
          <w:sz w:val="21"/>
          <w:szCs w:val="21"/>
          <w:color w:val="000000"/>
        </w:rPr>
        <w:instrText> HYPERLINK "http://www.planalto.gov.br/ccivil_03/_ato2019-2022/2021/lei/L14133.htm" \l "art64"</w:instrText>
      </w:r>
      <w:r>
        <w:rPr>
          <w:rStyle w:val="LinkdaInternet"/>
          <w:sz w:val="21"/>
          <w:szCs w:val="21"/>
          <w:color w:val="000000"/>
        </w:rPr>
        <w:fldChar w:fldCharType="separate"/>
      </w:r>
      <w:r>
        <w:rPr>
          <w:rStyle w:val="LinkdaInternet"/>
          <w:color w:val="000000"/>
          <w:sz w:val="21"/>
          <w:szCs w:val="21"/>
        </w:rPr>
        <w:t>Lei 14.133/21, art. 64</w:t>
      </w:r>
      <w:r>
        <w:rPr>
          <w:rStyle w:val="LinkdaInternet"/>
          <w:sz w:val="21"/>
          <w:szCs w:val="21"/>
          <w:color w:val="000000"/>
        </w:rPr>
        <w:fldChar w:fldCharType="end"/>
      </w:r>
      <w:r>
        <w:rPr>
          <w:color w:val="000000"/>
          <w:sz w:val="21"/>
          <w:szCs w:val="21"/>
        </w:rPr>
        <w:t xml:space="preserve">, e </w:t>
      </w:r>
      <w:hyperlink r:id="rId24">
        <w:r>
          <w:rPr>
            <w:rStyle w:val="LinkdaInternet"/>
            <w:color w:val="000000"/>
            <w:sz w:val="21"/>
            <w:szCs w:val="21"/>
          </w:rPr>
          <w:t>IN 73/2022, art. 39, §4º</w:t>
        </w:r>
      </w:hyperlink>
      <w:r>
        <w:rPr>
          <w:color w:val="000000"/>
          <w:sz w:val="21"/>
          <w:szCs w:val="21"/>
        </w:rPr>
        <w:t>):</w:t>
      </w:r>
    </w:p>
    <w:p>
      <w:pPr>
        <w:pStyle w:val="Nivel3"/>
        <w:numPr>
          <w:ilvl w:val="2"/>
          <w:numId w:val="1"/>
        </w:numPr>
        <w:tabs>
          <w:tab w:val="left" w:pos="0" w:leader="none"/>
          <w:tab w:val="left" w:pos="1134" w:leader="none"/>
        </w:tabs>
        <w:ind w:left="284" w:hanging="0"/>
        <w:rPr>
          <w:color w:val="000000"/>
        </w:rPr>
      </w:pPr>
      <w:r>
        <w:rPr>
          <w:color w:val="000000"/>
          <w:sz w:val="21"/>
          <w:szCs w:val="21"/>
        </w:rPr>
        <w:t>Complementação de informações acerca dos documentos já apresentados pelos licitantes e desde que necessária para apurar fatos existentes à época da abertura do certame; e</w:t>
      </w:r>
      <w:commentRangeEnd w:id="26"/>
      <w:r>
        <w:commentReference w:id="26"/>
      </w:r>
      <w:r>
        <w:rPr>
          <w:color w:val="000000"/>
          <w:sz w:val="21"/>
          <w:szCs w:val="21"/>
        </w:rPr>
      </w:r>
    </w:p>
    <w:p>
      <w:pPr>
        <w:pStyle w:val="Nivel3"/>
        <w:numPr>
          <w:ilvl w:val="2"/>
          <w:numId w:val="1"/>
        </w:numPr>
        <w:tabs>
          <w:tab w:val="left" w:pos="0" w:leader="none"/>
          <w:tab w:val="left" w:pos="1134" w:leader="none"/>
        </w:tabs>
        <w:ind w:left="284" w:hanging="0"/>
        <w:rPr>
          <w:sz w:val="21"/>
          <w:szCs w:val="21"/>
        </w:rPr>
      </w:pPr>
      <w:r>
        <w:rPr>
          <w:color w:val="000000"/>
          <w:sz w:val="21"/>
          <w:szCs w:val="21"/>
        </w:rPr>
        <w:t>Atualização de docum</w:t>
      </w:r>
      <w:r>
        <w:rPr>
          <w:sz w:val="21"/>
          <w:szCs w:val="21"/>
        </w:rPr>
        <w:t>entos cuja validade tenha expirado após a data de recebimento das propostas;</w:t>
      </w:r>
    </w:p>
    <w:p>
      <w:pPr>
        <w:pStyle w:val="Nivel2"/>
        <w:numPr>
          <w:ilvl w:val="1"/>
          <w:numId w:val="1"/>
        </w:numPr>
        <w:ind w:left="0" w:hanging="0"/>
        <w:rPr>
          <w:sz w:val="21"/>
          <w:szCs w:val="21"/>
        </w:rPr>
      </w:pPr>
      <w:bookmarkStart w:id="43" w:name="_Ref114670319"/>
      <w:r>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3"/>
    </w:p>
    <w:p>
      <w:pPr>
        <w:pStyle w:val="Nivel2"/>
        <w:numPr>
          <w:ilvl w:val="1"/>
          <w:numId w:val="1"/>
        </w:numPr>
        <w:ind w:left="0" w:hanging="0"/>
        <w:rPr>
          <w:sz w:val="21"/>
          <w:szCs w:val="21"/>
        </w:rPr>
      </w:pPr>
      <w:bookmarkStart w:id="44" w:name="_Ref114665528"/>
      <w:r>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4"/>
    </w:p>
    <w:p>
      <w:pPr>
        <w:pStyle w:val="Nivel2"/>
        <w:numPr>
          <w:ilvl w:val="1"/>
          <w:numId w:val="1"/>
        </w:numPr>
        <w:ind w:left="0" w:hanging="0"/>
        <w:rPr/>
      </w:pPr>
      <w:bookmarkStart w:id="45" w:name="_Ref114665515"/>
      <w:r>
        <w:rPr>
          <w:sz w:val="21"/>
          <w:szCs w:val="21"/>
        </w:rPr>
        <w:t>Somente serão disponibilizados para acesso público os documentos de habilitação do licitante cuja proposta atenda ao edital de licitação, após concluídos os procedimentos de que trata o subitem anterior</w:t>
      </w:r>
      <w:bookmarkEnd w:id="45"/>
      <w:r>
        <w:rPr>
          <w:sz w:val="21"/>
          <w:szCs w:val="21"/>
        </w:rPr>
        <w:t>.</w:t>
      </w:r>
    </w:p>
    <w:p>
      <w:pPr>
        <w:pStyle w:val="Nivel2"/>
        <w:numPr>
          <w:ilvl w:val="1"/>
          <w:numId w:val="1"/>
        </w:numPr>
        <w:ind w:left="0" w:hanging="0"/>
        <w:rPr/>
      </w:pPr>
      <w:r>
        <w:rPr>
          <w:sz w:val="21"/>
          <w:szCs w:val="21"/>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1"/>
          <w:u w:val="none"/>
          <w:szCs w:val="21"/>
          <w:color w:val="000000"/>
        </w:rPr>
        <w:instrText> HYPERLINK "https://www.planalto.gov.br/ccivil_03/_ato2015-2018/2015/decreto/d8538.htm" \l "art4"</w:instrText>
      </w:r>
      <w:r>
        <w:rPr>
          <w:rStyle w:val="LinkdaInternet"/>
          <w:sz w:val="21"/>
          <w:u w:val="none"/>
          <w:szCs w:val="21"/>
          <w:color w:val="000000"/>
        </w:rPr>
        <w:fldChar w:fldCharType="separate"/>
      </w:r>
      <w:r>
        <w:rPr>
          <w:rStyle w:val="LinkdaInternet"/>
          <w:color w:val="000000"/>
          <w:sz w:val="21"/>
          <w:szCs w:val="21"/>
          <w:u w:val="none"/>
        </w:rPr>
        <w:t>art. 4º do Decreto nº 8.538/2015</w:t>
      </w:r>
      <w:r>
        <w:rPr>
          <w:rStyle w:val="LinkdaInternet"/>
          <w:sz w:val="21"/>
          <w:u w:val="none"/>
          <w:szCs w:val="21"/>
          <w:color w:val="000000"/>
        </w:rPr>
        <w:fldChar w:fldCharType="end"/>
      </w:r>
      <w:r>
        <w:rPr>
          <w:sz w:val="21"/>
          <w:szCs w:val="21"/>
        </w:rPr>
        <w:t>).</w:t>
      </w:r>
    </w:p>
    <w:p>
      <w:pPr>
        <w:pStyle w:val="Nivel2"/>
        <w:numPr>
          <w:ilvl w:val="1"/>
          <w:numId w:val="1"/>
        </w:numPr>
        <w:ind w:left="0" w:hanging="0"/>
        <w:rPr>
          <w:color w:val="000000"/>
          <w:shd w:fill="FFFFFF" w:val="clear"/>
        </w:rPr>
      </w:pPr>
      <w:r>
        <w:rPr>
          <w:color w:val="000000"/>
          <w:sz w:val="21"/>
          <w:szCs w:val="21"/>
          <w:shd w:fill="FFFFFF" w:val="clear"/>
        </w:rPr>
        <w:t>Quando a fase de habilitação anteceder a de julgamento e já tiver sido encerrada, não caberá exclusão de licitante por motivo relacionado à habilitação, salvo em razão de fatos supervenientes ou só conhecidos após o julgamento.</w:t>
      </w:r>
    </w:p>
    <w:p>
      <w:pPr>
        <w:pStyle w:val="Nivel2"/>
        <w:numPr>
          <w:ilvl w:val="1"/>
          <w:numId w:val="1"/>
        </w:numPr>
        <w:ind w:left="0" w:hanging="0"/>
        <w:rPr>
          <w:color w:val="000000"/>
          <w:shd w:fill="FFFFFF" w:val="clear"/>
        </w:rPr>
      </w:pPr>
      <w:commentRangeStart w:id="27"/>
      <w:r>
        <w:rPr>
          <w:color w:val="000000"/>
          <w:sz w:val="21"/>
          <w:szCs w:val="21"/>
          <w:shd w:fill="FFFFFF" w:val="clear"/>
        </w:rPr>
        <w:t xml:space="preserve">Constatado o atendimento às exigências de habilitação fixadas no Edital, o licitante será declarado preliminarmente vencedor, sob condição da aprovação das </w:t>
      </w:r>
      <w:r>
        <w:rPr>
          <w:b/>
          <w:color w:val="000000"/>
          <w:sz w:val="21"/>
          <w:szCs w:val="21"/>
          <w:shd w:fill="FFFFFF" w:val="clear"/>
        </w:rPr>
        <w:t>AMOSTRAS</w:t>
      </w:r>
      <w:r>
        <w:rPr>
          <w:color w:val="000000"/>
          <w:sz w:val="21"/>
          <w:szCs w:val="21"/>
          <w:shd w:fill="FFFFFF" w:val="clear"/>
        </w:rPr>
        <w:t>, conforme item 9.13 deste Edital</w:t>
      </w:r>
      <w:commentRangeEnd w:id="27"/>
      <w:r>
        <w:commentReference w:id="27"/>
      </w:r>
      <w:r>
        <w:rPr>
          <w:color w:val="000000"/>
          <w:sz w:val="21"/>
          <w:szCs w:val="21"/>
          <w:shd w:fill="FFFFFF" w:val="clear"/>
        </w:rPr>
      </w:r>
    </w:p>
    <w:p>
      <w:pPr>
        <w:pStyle w:val="Nivel01"/>
        <w:numPr>
          <w:ilvl w:val="0"/>
          <w:numId w:val="1"/>
        </w:numPr>
        <w:spacing w:before="288" w:after="288"/>
        <w:ind w:left="0" w:right="0" w:hanging="0"/>
        <w:rPr>
          <w:sz w:val="21"/>
          <w:szCs w:val="21"/>
        </w:rPr>
      </w:pPr>
      <w:bookmarkStart w:id="46" w:name="_Toc136943938"/>
      <w:r>
        <w:rPr>
          <w:sz w:val="21"/>
          <w:szCs w:val="21"/>
        </w:rPr>
        <w:t>DOS RECURSOS</w:t>
      </w:r>
      <w:bookmarkEnd w:id="46"/>
    </w:p>
    <w:p>
      <w:pPr>
        <w:pStyle w:val="Nivel2"/>
        <w:numPr>
          <w:ilvl w:val="1"/>
          <w:numId w:val="1"/>
        </w:numPr>
        <w:ind w:left="0" w:hanging="0"/>
        <w:rPr/>
      </w:pPr>
      <w:r>
        <w:rPr>
          <w:sz w:val="21"/>
          <w:szCs w:val="21"/>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1"/>
          <w:u w:val="none"/>
          <w:szCs w:val="21"/>
          <w:color w:val="000000"/>
        </w:rPr>
        <w:instrText> HYPERLINK "http://www.planalto.gov.br/ccivil_03/_ato2019-2022/2021/lei/L14133.htm" \l "art165"</w:instrText>
      </w:r>
      <w:r>
        <w:rPr>
          <w:rStyle w:val="LinkdaInternet"/>
          <w:sz w:val="21"/>
          <w:u w:val="none"/>
          <w:szCs w:val="21"/>
          <w:color w:val="000000"/>
        </w:rPr>
        <w:fldChar w:fldCharType="separate"/>
      </w:r>
      <w:r>
        <w:rPr>
          <w:rStyle w:val="LinkdaInternet"/>
          <w:color w:val="000000"/>
          <w:sz w:val="21"/>
          <w:szCs w:val="21"/>
          <w:u w:val="none"/>
        </w:rPr>
        <w:t>art. 165 da Lei nº 14.133, de 2021</w:t>
      </w:r>
      <w:r>
        <w:rPr>
          <w:rStyle w:val="LinkdaInternet"/>
          <w:sz w:val="21"/>
          <w:u w:val="none"/>
          <w:szCs w:val="21"/>
          <w:color w:val="000000"/>
        </w:rPr>
        <w:fldChar w:fldCharType="end"/>
      </w:r>
      <w:r>
        <w:rPr>
          <w:sz w:val="21"/>
          <w:szCs w:val="21"/>
        </w:rPr>
        <w:t>.</w:t>
      </w:r>
    </w:p>
    <w:p>
      <w:pPr>
        <w:pStyle w:val="Nivel2"/>
        <w:numPr>
          <w:ilvl w:val="1"/>
          <w:numId w:val="1"/>
        </w:numPr>
        <w:ind w:left="0" w:hanging="0"/>
        <w:rPr>
          <w:sz w:val="21"/>
          <w:szCs w:val="21"/>
        </w:rPr>
      </w:pPr>
      <w:r>
        <w:rPr>
          <w:sz w:val="21"/>
          <w:szCs w:val="21"/>
        </w:rPr>
        <w:t>O prazo recursal é de 3 (três) dias úteis, contados da data de intimação ou de lavratura da ata.</w:t>
      </w:r>
    </w:p>
    <w:p>
      <w:pPr>
        <w:pStyle w:val="Nivel2"/>
        <w:numPr>
          <w:ilvl w:val="1"/>
          <w:numId w:val="1"/>
        </w:numPr>
        <w:ind w:left="0" w:hanging="0"/>
        <w:rPr>
          <w:sz w:val="21"/>
          <w:szCs w:val="21"/>
        </w:rPr>
      </w:pPr>
      <w:r>
        <w:rPr>
          <w:sz w:val="21"/>
          <w:szCs w:val="21"/>
        </w:rPr>
        <w:t>Quando o recurso apresentado impugnar o julgamento das propostas ou o ato de habilitação ou inabilitação do licitante:</w:t>
      </w:r>
    </w:p>
    <w:p>
      <w:pPr>
        <w:pStyle w:val="Nivel3"/>
        <w:numPr>
          <w:ilvl w:val="2"/>
          <w:numId w:val="1"/>
        </w:numPr>
        <w:tabs>
          <w:tab w:val="left" w:pos="0" w:leader="none"/>
          <w:tab w:val="left" w:pos="1134" w:leader="none"/>
        </w:tabs>
        <w:ind w:left="284" w:hanging="0"/>
        <w:rPr>
          <w:sz w:val="21"/>
          <w:szCs w:val="21"/>
        </w:rPr>
      </w:pPr>
      <w:r>
        <w:rPr>
          <w:sz w:val="21"/>
          <w:szCs w:val="21"/>
        </w:rPr>
        <w:t>A intenção de recorrer deverá ser manifestada imediatamente, sob pena de preclusão;</w:t>
      </w:r>
    </w:p>
    <w:p>
      <w:pPr>
        <w:pStyle w:val="Nivel3"/>
        <w:numPr>
          <w:ilvl w:val="2"/>
          <w:numId w:val="1"/>
        </w:numPr>
        <w:tabs>
          <w:tab w:val="left" w:pos="0" w:leader="none"/>
          <w:tab w:val="left" w:pos="1134" w:leader="none"/>
        </w:tabs>
        <w:ind w:left="284" w:hanging="0"/>
        <w:rPr>
          <w:sz w:val="21"/>
          <w:szCs w:val="21"/>
        </w:rPr>
      </w:pPr>
      <w:bookmarkStart w:id="47" w:name="_Hlk135318381"/>
      <w:r>
        <w:rPr>
          <w:sz w:val="21"/>
          <w:szCs w:val="21"/>
        </w:rPr>
        <w:t>O prazo para a manifestação da intenção de recorrer não será inferior a 10 (dez) minutos.</w:t>
      </w:r>
      <w:bookmarkStart w:id="48" w:name="_Hlk135315794"/>
      <w:bookmarkEnd w:id="47"/>
      <w:bookmarkEnd w:id="48"/>
    </w:p>
    <w:p>
      <w:pPr>
        <w:pStyle w:val="Nivel3"/>
        <w:numPr>
          <w:ilvl w:val="2"/>
          <w:numId w:val="1"/>
        </w:numPr>
        <w:tabs>
          <w:tab w:val="left" w:pos="0" w:leader="none"/>
          <w:tab w:val="left" w:pos="1134" w:leader="none"/>
        </w:tabs>
        <w:ind w:left="284" w:hanging="0"/>
        <w:rPr>
          <w:sz w:val="21"/>
          <w:szCs w:val="21"/>
        </w:rPr>
      </w:pPr>
      <w:r>
        <w:rPr>
          <w:sz w:val="21"/>
          <w:szCs w:val="21"/>
        </w:rPr>
        <w:t>O prazo para apresentação das razões recursais será iniciado na data de intimação ou de lavratura da ata de habilitação ou inabilitação;</w:t>
      </w:r>
    </w:p>
    <w:p>
      <w:pPr>
        <w:pStyle w:val="Nivel3"/>
        <w:numPr>
          <w:ilvl w:val="2"/>
          <w:numId w:val="1"/>
        </w:numPr>
        <w:tabs>
          <w:tab w:val="left" w:pos="0" w:leader="none"/>
          <w:tab w:val="left" w:pos="1134" w:leader="none"/>
        </w:tabs>
        <w:ind w:left="284" w:hanging="0"/>
        <w:rPr/>
      </w:pPr>
      <w:r>
        <w:rPr>
          <w:sz w:val="21"/>
          <w:szCs w:val="21"/>
        </w:rPr>
        <w:t xml:space="preserve">Na hipótese de adoção da inversão de fases prevista no </w:t>
      </w:r>
      <w:r>
        <w:fldChar w:fldCharType="begin"/>
      </w:r>
      <w:r>
        <w:rPr>
          <w:rStyle w:val="LinkdaInternet"/>
          <w:sz w:val="21"/>
          <w:u w:val="none"/>
          <w:szCs w:val="21"/>
          <w:color w:val="000000"/>
        </w:rPr>
        <w:instrText> HYPERLINK "http://www.planalto.gov.br/ccivil_03/_ato2019-2022/2021/lei/L14133.htm" \l "art17§1"</w:instrText>
      </w:r>
      <w:r>
        <w:rPr>
          <w:rStyle w:val="LinkdaInternet"/>
          <w:sz w:val="21"/>
          <w:u w:val="none"/>
          <w:szCs w:val="21"/>
          <w:color w:val="000000"/>
        </w:rPr>
        <w:fldChar w:fldCharType="separate"/>
      </w:r>
      <w:r>
        <w:rPr>
          <w:rStyle w:val="LinkdaInternet"/>
          <w:color w:val="000000"/>
          <w:sz w:val="21"/>
          <w:szCs w:val="21"/>
          <w:u w:val="none"/>
        </w:rPr>
        <w:t>§ 1º do art. 17 da Lei nº 14.133, de 2021</w:t>
      </w:r>
      <w:r>
        <w:rPr>
          <w:rStyle w:val="LinkdaInternet"/>
          <w:sz w:val="21"/>
          <w:u w:val="none"/>
          <w:szCs w:val="21"/>
          <w:color w:val="000000"/>
        </w:rPr>
        <w:fldChar w:fldCharType="end"/>
      </w:r>
      <w:r>
        <w:rPr>
          <w:sz w:val="21"/>
          <w:szCs w:val="21"/>
        </w:rPr>
        <w:t>, o prazo para apresentação das razões recursais será iniciado na data de intimação da ata de julgamento.</w:t>
      </w:r>
    </w:p>
    <w:p>
      <w:pPr>
        <w:pStyle w:val="Nivel2"/>
        <w:numPr>
          <w:ilvl w:val="1"/>
          <w:numId w:val="1"/>
        </w:numPr>
        <w:ind w:left="0" w:hanging="0"/>
        <w:rPr>
          <w:sz w:val="21"/>
          <w:szCs w:val="21"/>
        </w:rPr>
      </w:pPr>
      <w:r>
        <w:rPr>
          <w:sz w:val="21"/>
          <w:szCs w:val="21"/>
        </w:rPr>
        <w:t>Os recursos deverão ser encaminhados em campo próprio do sistema.</w:t>
      </w:r>
    </w:p>
    <w:p>
      <w:pPr>
        <w:pStyle w:val="Nivel2"/>
        <w:numPr>
          <w:ilvl w:val="1"/>
          <w:numId w:val="1"/>
        </w:numPr>
        <w:ind w:left="0" w:hanging="0"/>
        <w:rPr>
          <w:sz w:val="21"/>
          <w:szCs w:val="21"/>
        </w:rPr>
      </w:pPr>
      <w:r>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sz w:val="21"/>
          <w:szCs w:val="21"/>
        </w:rPr>
      </w:pPr>
      <w:r>
        <w:rPr>
          <w:sz w:val="21"/>
          <w:szCs w:val="21"/>
        </w:rPr>
        <w:t xml:space="preserve">Os recursos interpostos fora do prazo não serão conhecidos. </w:t>
      </w:r>
    </w:p>
    <w:p>
      <w:pPr>
        <w:pStyle w:val="Nivel2"/>
        <w:numPr>
          <w:ilvl w:val="1"/>
          <w:numId w:val="1"/>
        </w:numPr>
        <w:ind w:left="0" w:hanging="0"/>
        <w:rPr>
          <w:sz w:val="21"/>
          <w:szCs w:val="21"/>
        </w:rPr>
      </w:pPr>
      <w:r>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sz w:val="21"/>
          <w:szCs w:val="21"/>
        </w:rPr>
      </w:pPr>
      <w:r>
        <w:rPr>
          <w:sz w:val="21"/>
          <w:szCs w:val="21"/>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sz w:val="21"/>
          <w:szCs w:val="21"/>
        </w:rPr>
      </w:pPr>
      <w:r>
        <w:rPr>
          <w:sz w:val="21"/>
          <w:szCs w:val="21"/>
        </w:rPr>
        <w:t xml:space="preserve">O acolhimento do recurso invalida tão somente os atos insuscetíveis de aproveitamento. </w:t>
      </w:r>
    </w:p>
    <w:p>
      <w:pPr>
        <w:pStyle w:val="Nivel2"/>
        <w:numPr>
          <w:ilvl w:val="1"/>
          <w:numId w:val="1"/>
        </w:numPr>
        <w:ind w:left="0" w:hanging="0"/>
        <w:rPr/>
      </w:pPr>
      <w:r>
        <w:rPr>
          <w:sz w:val="21"/>
          <w:szCs w:val="21"/>
        </w:rPr>
        <w:t xml:space="preserve">Os autos do </w:t>
      </w:r>
      <w:r>
        <w:rPr>
          <w:color w:val="000000"/>
          <w:sz w:val="21"/>
          <w:szCs w:val="21"/>
        </w:rPr>
        <w:t xml:space="preserve">processo permanecerão com vista franqueada aos interessados no sítio eletrônico oficial do Município de São José dos Pinhais: </w:t>
      </w:r>
      <w:hyperlink r:id="rId25">
        <w:r>
          <w:rPr>
            <w:rStyle w:val="LinkdaInternet"/>
            <w:color w:val="000000"/>
            <w:sz w:val="21"/>
            <w:szCs w:val="21"/>
          </w:rPr>
          <w:t>http://servicos.sjp.pr.gov.br/servicos/compras/controller/edital_lic/</w:t>
        </w:r>
      </w:hyperlink>
      <w:r>
        <w:rPr>
          <w:color w:val="000000"/>
          <w:sz w:val="21"/>
          <w:szCs w:val="21"/>
        </w:rPr>
        <w:t>.</w:t>
      </w:r>
    </w:p>
    <w:p>
      <w:pPr>
        <w:pStyle w:val="Nivel01"/>
        <w:numPr>
          <w:ilvl w:val="0"/>
          <w:numId w:val="1"/>
        </w:numPr>
        <w:spacing w:before="288" w:after="288"/>
        <w:ind w:left="0" w:right="0" w:hanging="0"/>
        <w:rPr>
          <w:color w:val="000000"/>
        </w:rPr>
      </w:pPr>
      <w:r>
        <w:rPr>
          <w:color w:val="000000"/>
          <w:sz w:val="21"/>
          <w:szCs w:val="21"/>
        </w:rPr>
        <w:t>DA ADJUDICAÇÃO, HOMOLOGAÇÃO E CONVOCAÇÃO</w:t>
      </w:r>
    </w:p>
    <w:p>
      <w:pPr>
        <w:pStyle w:val="Nivel2"/>
        <w:numPr>
          <w:ilvl w:val="1"/>
          <w:numId w:val="1"/>
        </w:numPr>
        <w:ind w:left="0" w:hanging="0"/>
        <w:rPr>
          <w:sz w:val="21"/>
          <w:szCs w:val="21"/>
        </w:rPr>
      </w:pPr>
      <w:r>
        <w:rPr>
          <w:color w:val="000000"/>
          <w:sz w:val="21"/>
          <w:szCs w:val="21"/>
        </w:rPr>
        <w:t xml:space="preserve">Após a fase recursal, </w:t>
      </w:r>
      <w:r>
        <w:rPr>
          <w:sz w:val="21"/>
          <w:szCs w:val="21"/>
        </w:rPr>
        <w:t xml:space="preserve">constatada a regularidade dos atos praticados, a autoridade competente adjudicará o objeto ao licitante declarado vencedor e homologará o procedimento licitatório. </w:t>
      </w:r>
    </w:p>
    <w:p>
      <w:pPr>
        <w:pStyle w:val="Nivel3"/>
        <w:numPr>
          <w:ilvl w:val="2"/>
          <w:numId w:val="1"/>
        </w:numPr>
        <w:tabs>
          <w:tab w:val="left" w:pos="0" w:leader="none"/>
          <w:tab w:val="left" w:pos="1134" w:leader="none"/>
        </w:tabs>
        <w:ind w:left="284" w:hanging="0"/>
        <w:rPr>
          <w:sz w:val="21"/>
          <w:szCs w:val="21"/>
        </w:rPr>
      </w:pPr>
      <w:r>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pPr>
        <w:pStyle w:val="Nivel3"/>
        <w:numPr>
          <w:ilvl w:val="2"/>
          <w:numId w:val="1"/>
        </w:numPr>
        <w:tabs>
          <w:tab w:val="left" w:pos="0" w:leader="none"/>
          <w:tab w:val="left" w:pos="1134" w:leader="none"/>
        </w:tabs>
        <w:ind w:left="0" w:hanging="0"/>
        <w:rPr>
          <w:sz w:val="21"/>
          <w:szCs w:val="21"/>
        </w:rPr>
      </w:pPr>
      <w:r>
        <w:rPr>
          <w:sz w:val="21"/>
          <w:szCs w:val="21"/>
        </w:rPr>
        <w:t>Se o adjudicatário, convocado dentro do prazo de validade da sua proposta, não assinar o instrumento contratual estará sujeito às sanções previstas neste Edital.</w:t>
      </w:r>
    </w:p>
    <w:p>
      <w:pPr>
        <w:pStyle w:val="Nivel2"/>
        <w:numPr>
          <w:ilvl w:val="1"/>
          <w:numId w:val="1"/>
        </w:numPr>
        <w:ind w:left="0" w:hanging="0"/>
        <w:rPr>
          <w:sz w:val="21"/>
          <w:szCs w:val="21"/>
        </w:rPr>
      </w:pPr>
      <w:r>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p>
    <w:p>
      <w:pPr>
        <w:pStyle w:val="Nivel01"/>
        <w:numPr>
          <w:ilvl w:val="0"/>
          <w:numId w:val="1"/>
        </w:numPr>
        <w:spacing w:before="288" w:after="288"/>
        <w:ind w:left="0" w:right="0" w:hanging="0"/>
        <w:rPr>
          <w:shd w:fill="FFFFFF" w:val="clear"/>
        </w:rPr>
      </w:pPr>
      <w:commentRangeStart w:id="28"/>
      <w:r>
        <w:rPr>
          <w:sz w:val="21"/>
          <w:szCs w:val="21"/>
          <w:shd w:fill="FFFFFF" w:val="clear"/>
        </w:rPr>
        <w:t>DA ATA DE REGISTRO DE PREÇOS</w:t>
      </w:r>
      <w:bookmarkStart w:id="49" w:name="_Toc136943939"/>
      <w:bookmarkEnd w:id="49"/>
      <w:commentRangeEnd w:id="28"/>
      <w:r>
        <w:commentReference w:id="28"/>
      </w:r>
      <w:r>
        <w:rPr>
          <w:sz w:val="21"/>
          <w:szCs w:val="21"/>
          <w:shd w:fill="FFFFFF" w:val="clear"/>
        </w:rPr>
      </w:r>
    </w:p>
    <w:p>
      <w:pPr>
        <w:pStyle w:val="Nivel2"/>
        <w:numPr>
          <w:ilvl w:val="1"/>
          <w:numId w:val="1"/>
        </w:numPr>
        <w:ind w:left="0" w:hanging="0"/>
        <w:rPr>
          <w:shd w:fill="FFFFFF" w:val="clear"/>
        </w:rPr>
      </w:pPr>
      <w:r>
        <w:rPr>
          <w:sz w:val="21"/>
          <w:szCs w:val="21"/>
          <w:shd w:fill="FFFFFF" w:val="clear"/>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shd w:fill="FFFFFF" w:val="clear"/>
        </w:rPr>
      </w:pPr>
      <w:commentRangeStart w:id="29"/>
      <w:r>
        <w:rPr>
          <w:sz w:val="21"/>
          <w:szCs w:val="21"/>
          <w:shd w:fill="FFFFFF" w:val="clear"/>
        </w:rPr>
        <w:t xml:space="preserve">O prazo de convocação </w:t>
      </w:r>
      <w:r>
        <w:rPr>
          <w:sz w:val="21"/>
          <w:szCs w:val="21"/>
          <w:shd w:fill="FFFFFF" w:val="clear"/>
        </w:rPr>
      </w:r>
      <w:commentRangeEnd w:id="29"/>
      <w:r>
        <w:commentReference w:id="29"/>
      </w:r>
      <w:r>
        <w:rPr>
          <w:sz w:val="21"/>
          <w:szCs w:val="21"/>
          <w:shd w:fill="FFFFFF" w:val="clear"/>
        </w:rPr>
        <w:t>poderá ser prorrogado uma vez, por igual período, mediante solicitação do licitante mais bem classificado ou do fornecedor convocado, desde que:</w:t>
      </w:r>
    </w:p>
    <w:p>
      <w:pPr>
        <w:pStyle w:val="Nivel2"/>
        <w:tabs>
          <w:tab w:val="clear" w:pos="0"/>
        </w:tabs>
        <w:ind w:left="567" w:hanging="0"/>
        <w:rPr>
          <w:shd w:fill="FFFFFF" w:val="clear"/>
        </w:rPr>
      </w:pPr>
      <w:r>
        <w:rPr>
          <w:iCs/>
          <w:sz w:val="21"/>
          <w:szCs w:val="21"/>
          <w:shd w:fill="FFFFFF" w:val="clear"/>
        </w:rPr>
        <w:t>(a) a solicitação seja devidamente justificada e apresentada dentro do prazo; e</w:t>
      </w:r>
    </w:p>
    <w:p>
      <w:pPr>
        <w:pStyle w:val="Nivel2"/>
        <w:tabs>
          <w:tab w:val="clear" w:pos="0"/>
        </w:tabs>
        <w:ind w:left="567" w:hanging="0"/>
        <w:rPr>
          <w:shd w:fill="FFFFFF" w:val="clear"/>
        </w:rPr>
      </w:pPr>
      <w:r>
        <w:rPr>
          <w:iCs/>
          <w:sz w:val="21"/>
          <w:szCs w:val="21"/>
          <w:shd w:fill="FFFFFF" w:val="clear"/>
        </w:rPr>
        <w:t>(b) a justificativa apresentada seja aceita pela Administração.</w:t>
      </w:r>
    </w:p>
    <w:p>
      <w:pPr>
        <w:pStyle w:val="Nivel2"/>
        <w:numPr>
          <w:ilvl w:val="1"/>
          <w:numId w:val="1"/>
        </w:numPr>
        <w:ind w:left="0" w:hanging="0"/>
        <w:rPr>
          <w:shd w:fill="FFFFFF" w:val="clear"/>
        </w:rPr>
      </w:pPr>
      <w:r>
        <w:rPr>
          <w:sz w:val="21"/>
          <w:szCs w:val="21"/>
          <w:shd w:fill="FFFFFF" w:val="clear"/>
        </w:rPr>
        <w:t>A ata de registro de preços será assinada por meio de assinatura digital e disponibilizada no Portal da Transparência do Município.</w:t>
      </w:r>
    </w:p>
    <w:p>
      <w:pPr>
        <w:pStyle w:val="Nivel2"/>
        <w:numPr>
          <w:ilvl w:val="1"/>
          <w:numId w:val="1"/>
        </w:numPr>
        <w:ind w:left="0" w:hanging="0"/>
        <w:rPr>
          <w:shd w:fill="FFFFFF" w:val="clear"/>
        </w:rPr>
      </w:pPr>
      <w:r>
        <w:rPr>
          <w:sz w:val="21"/>
          <w:szCs w:val="21"/>
          <w:shd w:fill="FFFFFF" w:val="clea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shd w:fill="FFFFFF" w:val="clear"/>
        </w:rPr>
      </w:pPr>
      <w:r>
        <w:rPr>
          <w:sz w:val="21"/>
          <w:szCs w:val="21"/>
          <w:shd w:fill="FFFFFF" w:val="clear"/>
        </w:rPr>
        <w:t xml:space="preserve">O preço registrado, com a indicação dos fornecedores, será </w:t>
      </w:r>
      <w:commentRangeStart w:id="30"/>
      <w:r>
        <w:rPr>
          <w:sz w:val="21"/>
          <w:szCs w:val="21"/>
          <w:shd w:fill="FFFFFF" w:val="clear"/>
        </w:rPr>
        <w:t xml:space="preserve">divulgado no portal de Transparência do Município </w:t>
      </w:r>
      <w:r>
        <w:rPr>
          <w:sz w:val="21"/>
          <w:szCs w:val="21"/>
          <w:shd w:fill="FFFFFF" w:val="clear"/>
        </w:rPr>
      </w:r>
      <w:commentRangeEnd w:id="30"/>
      <w:r>
        <w:commentReference w:id="30"/>
      </w:r>
      <w:r>
        <w:rPr>
          <w:sz w:val="21"/>
          <w:szCs w:val="21"/>
          <w:shd w:fill="FFFFFF" w:val="clear"/>
        </w:rPr>
        <w:t>e disponibilizado durante a vigência da ata de registro de preços.</w:t>
      </w:r>
    </w:p>
    <w:p>
      <w:pPr>
        <w:pStyle w:val="Nivel2"/>
        <w:numPr>
          <w:ilvl w:val="1"/>
          <w:numId w:val="1"/>
        </w:numPr>
        <w:ind w:left="0" w:hanging="0"/>
        <w:rPr>
          <w:shd w:fill="FFFFFF" w:val="clear"/>
        </w:rPr>
      </w:pPr>
      <w:commentRangeStart w:id="31"/>
      <w:r>
        <w:rPr>
          <w:sz w:val="21"/>
          <w:szCs w:val="21"/>
          <w:shd w:fill="FFFFFF"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31"/>
      <w:r>
        <w:commentReference w:id="31"/>
      </w:r>
      <w:r>
        <w:rPr>
          <w:sz w:val="21"/>
          <w:szCs w:val="21"/>
          <w:shd w:fill="FFFFFF" w:val="clear"/>
        </w:rPr>
      </w:r>
    </w:p>
    <w:p>
      <w:pPr>
        <w:pStyle w:val="Nivel2"/>
        <w:numPr>
          <w:ilvl w:val="1"/>
          <w:numId w:val="1"/>
        </w:numPr>
        <w:ind w:left="0" w:hanging="0"/>
        <w:rPr>
          <w:shd w:fill="FFFFFF" w:val="clear"/>
        </w:rPr>
      </w:pPr>
      <w:r>
        <w:rPr>
          <w:sz w:val="21"/>
          <w:szCs w:val="21"/>
          <w:shd w:fill="FFFFFF" w:val="clear"/>
        </w:rPr>
        <w:t xml:space="preserve">Na hipótese de o </w:t>
      </w:r>
      <w:commentRangeStart w:id="32"/>
      <w:r>
        <w:rPr>
          <w:sz w:val="21"/>
          <w:szCs w:val="21"/>
          <w:shd w:fill="FFFFFF" w:val="clear"/>
        </w:rPr>
        <w:t xml:space="preserve">convocado não assinar </w:t>
      </w:r>
      <w:r>
        <w:rPr>
          <w:sz w:val="21"/>
          <w:szCs w:val="21"/>
          <w:shd w:fill="FFFFFF" w:val="clear"/>
        </w:rPr>
      </w:r>
      <w:commentRangeEnd w:id="32"/>
      <w:r>
        <w:commentReference w:id="32"/>
      </w:r>
      <w:r>
        <w:rPr>
          <w:sz w:val="21"/>
          <w:szCs w:val="21"/>
          <w:shd w:fill="FFFFFF" w:val="clear"/>
        </w:rPr>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spacing w:before="288" w:after="288"/>
        <w:ind w:left="0" w:right="0" w:hanging="0"/>
        <w:rPr>
          <w:shd w:fill="FFFFFF" w:val="clear"/>
        </w:rPr>
      </w:pPr>
      <w:bookmarkStart w:id="50" w:name="_Toc136943940"/>
      <w:r>
        <w:rPr>
          <w:sz w:val="21"/>
          <w:szCs w:val="21"/>
          <w:shd w:fill="FFFFFF" w:val="clear"/>
        </w:rPr>
        <w:t>DA FORMAÇÃO DO CADASTRO DE RESERVA</w:t>
      </w:r>
      <w:bookmarkEnd w:id="50"/>
    </w:p>
    <w:p>
      <w:pPr>
        <w:pStyle w:val="Nivel2"/>
        <w:numPr>
          <w:ilvl w:val="1"/>
          <w:numId w:val="187"/>
        </w:numPr>
        <w:ind w:left="709" w:hanging="709"/>
        <w:rPr>
          <w:shd w:fill="FFFFFF" w:val="clear"/>
        </w:rPr>
      </w:pPr>
      <w:r>
        <w:rPr>
          <w:sz w:val="21"/>
          <w:szCs w:val="21"/>
          <w:shd w:fill="FFFFFF" w:val="clear"/>
        </w:rPr>
        <w:t xml:space="preserve">Após a homologação da licitação,será incluído na ata, na forma de anexo, o registro: </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 xml:space="preserve">Dos licitantes </w:t>
      </w:r>
      <w:bookmarkStart w:id="51" w:name="_Hlk132991372"/>
      <w:r>
        <w:rPr>
          <w:sz w:val="21"/>
          <w:szCs w:val="21"/>
          <w:shd w:fill="FFFFFF" w:val="clear"/>
        </w:rPr>
        <w:t xml:space="preserve">que </w:t>
      </w:r>
      <w:bookmarkStart w:id="52" w:name="_Hlk132989696"/>
      <w:r>
        <w:rPr>
          <w:sz w:val="21"/>
          <w:szCs w:val="21"/>
          <w:shd w:fill="FFFFFF" w:val="clear"/>
        </w:rPr>
        <w:t>aceitarem cotar o objeto com preço igual ao do adjudicatári</w:t>
      </w:r>
      <w:bookmarkEnd w:id="51"/>
      <w:r>
        <w:rPr>
          <w:sz w:val="21"/>
          <w:szCs w:val="21"/>
          <w:shd w:fill="FFFFFF" w:val="clear"/>
        </w:rPr>
        <w:t>o</w:t>
      </w:r>
      <w:bookmarkEnd w:id="52"/>
      <w:r>
        <w:rPr>
          <w:sz w:val="21"/>
          <w:szCs w:val="21"/>
          <w:shd w:fill="FFFFFF" w:val="clear"/>
        </w:rPr>
        <w:t xml:space="preserve">, observada a classificação na licitação; e </w:t>
      </w:r>
    </w:p>
    <w:p>
      <w:pPr>
        <w:pStyle w:val="Nivel3"/>
        <w:numPr>
          <w:ilvl w:val="2"/>
          <w:numId w:val="1"/>
        </w:numPr>
        <w:ind w:left="1134" w:hanging="850"/>
        <w:rPr>
          <w:shd w:fill="FFFFFF" w:val="clear"/>
        </w:rPr>
      </w:pPr>
      <w:r>
        <w:rPr>
          <w:sz w:val="21"/>
          <w:szCs w:val="21"/>
          <w:shd w:fill="FFFFFF" w:val="clear"/>
        </w:rPr>
        <w:t>Dos licitantes que mantiverem sua proposta original</w:t>
      </w:r>
    </w:p>
    <w:p>
      <w:pPr>
        <w:pStyle w:val="Nivel2"/>
        <w:numPr>
          <w:ilvl w:val="1"/>
          <w:numId w:val="1"/>
        </w:numPr>
        <w:ind w:left="709" w:hanging="709"/>
        <w:rPr>
          <w:shd w:fill="FFFFFF" w:val="clear"/>
        </w:rPr>
      </w:pPr>
      <w:commentRangeStart w:id="33"/>
      <w:r>
        <w:rPr>
          <w:sz w:val="21"/>
          <w:szCs w:val="21"/>
          <w:shd w:fill="FFFFFF" w:val="clear"/>
        </w:rPr>
        <w:t>Será respeitada, nas contratações, a ordem de classificação dos licitantes ou fornecedores registrados na ata</w:t>
      </w:r>
      <w:r>
        <w:rPr>
          <w:sz w:val="21"/>
          <w:szCs w:val="21"/>
          <w:shd w:fill="FFFFFF" w:val="clear"/>
        </w:rPr>
      </w:r>
      <w:commentRangeEnd w:id="33"/>
      <w:r>
        <w:commentReference w:id="33"/>
      </w:r>
      <w:r>
        <w:rPr>
          <w:sz w:val="21"/>
          <w:szCs w:val="21"/>
          <w:shd w:fill="FFFFFF" w:val="clear"/>
        </w:rPr>
        <w:t>.</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A apresentação de novas propostas na forma deste item não prejudicará o resultado do certame em relação ao licitante mais bem classificado.</w:t>
      </w:r>
    </w:p>
    <w:p>
      <w:pPr>
        <w:pStyle w:val="Nivel3"/>
        <w:numPr>
          <w:ilvl w:val="2"/>
          <w:numId w:val="188"/>
        </w:numPr>
        <w:tabs>
          <w:tab w:val="left" w:pos="0" w:leader="none"/>
          <w:tab w:val="left" w:pos="284" w:leader="none"/>
          <w:tab w:val="left" w:pos="1134" w:leader="none"/>
        </w:tabs>
        <w:ind w:left="284" w:hanging="0"/>
        <w:rPr>
          <w:shd w:fill="FFFFFF" w:val="clear"/>
        </w:rPr>
      </w:pPr>
      <w:commentRangeStart w:id="34"/>
      <w:r>
        <w:rPr>
          <w:sz w:val="21"/>
          <w:szCs w:val="21"/>
          <w:shd w:fill="FFFFFF" w:val="clear"/>
        </w:rPr>
        <w:t>Para fins da ordem de classificação, os licitantes ou fornecedores que aceitarem cotar o objeto com preço igual ao do adjudicatário antecederão aqueles que mantiverem sua proposta original.</w:t>
      </w:r>
      <w:commentRangeEnd w:id="34"/>
      <w:r>
        <w:commentReference w:id="34"/>
      </w:r>
      <w:r>
        <w:rPr>
          <w:sz w:val="21"/>
          <w:szCs w:val="21"/>
          <w:shd w:fill="FFFFFF" w:val="clear"/>
        </w:rPr>
      </w:r>
    </w:p>
    <w:p>
      <w:pPr>
        <w:pStyle w:val="Nivel2"/>
        <w:numPr>
          <w:ilvl w:val="1"/>
          <w:numId w:val="1"/>
        </w:numPr>
        <w:ind w:left="0" w:hanging="0"/>
        <w:rPr>
          <w:shd w:fill="FFFFFF" w:val="clear"/>
        </w:rPr>
      </w:pPr>
      <w:r>
        <w:rPr>
          <w:sz w:val="21"/>
          <w:szCs w:val="21"/>
          <w:shd w:fill="FFFFFF" w:val="clear"/>
        </w:rPr>
        <w:t>A habilitação dos licitantes que comporão o cadastro de reserva será efetuada quando houver necessidade de contratação dos licitantes remanescentes, nas seguintes hipóteses:</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Quando o licitante vencedor não assinar a ata de registro de preços no prazo e nas condições estabelecidos no edital; ou</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Quando houver o cancelamento do registro do fornecedor ou do registro de preços, nas hipóteses previstas nos art. 28 e art. 29 do Decreto nº 11.462/23.</w:t>
      </w:r>
    </w:p>
    <w:p>
      <w:pPr>
        <w:pStyle w:val="Nivel2"/>
        <w:numPr>
          <w:ilvl w:val="1"/>
          <w:numId w:val="1"/>
        </w:numPr>
        <w:ind w:left="0" w:hanging="0"/>
        <w:rPr>
          <w:shd w:fill="FFFFFF" w:val="clear"/>
        </w:rPr>
      </w:pPr>
      <w:r>
        <w:rPr>
          <w:sz w:val="21"/>
          <w:szCs w:val="21"/>
          <w:shd w:fill="FFFFFF" w:val="clear"/>
        </w:rPr>
        <w:t xml:space="preserve">Na hipótese de </w:t>
      </w:r>
      <w:commentRangeStart w:id="35"/>
      <w:r>
        <w:rPr>
          <w:sz w:val="21"/>
          <w:szCs w:val="21"/>
          <w:shd w:fill="FFFFFF" w:val="clear"/>
        </w:rPr>
        <w:t xml:space="preserve">nenhum dos licitantes </w:t>
      </w:r>
      <w:r>
        <w:rPr>
          <w:sz w:val="21"/>
          <w:szCs w:val="21"/>
          <w:shd w:fill="FFFFFF" w:val="clear"/>
        </w:rPr>
      </w:r>
      <w:commentRangeEnd w:id="35"/>
      <w:r>
        <w:commentReference w:id="35"/>
      </w:r>
      <w:r>
        <w:rPr>
          <w:sz w:val="21"/>
          <w:szCs w:val="21"/>
          <w:shd w:fill="FFFFFF" w:val="clear"/>
        </w:rPr>
        <w:t>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Convocar os licitantes que mantiveram sua proposta original para negociação, na ordem de classificação, com vistas à obtenção de preço melhor, mesmo que acima do preço do adjudicatário; ou</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Adjudicar e firmar o contrato nas condições ofertadas pelos licitantes remanescentes, observada a ordem de classificação, quando frustrada a negociação de melhor condição.</w:t>
      </w:r>
    </w:p>
    <w:p>
      <w:pPr>
        <w:pStyle w:val="Nivel01"/>
        <w:numPr>
          <w:ilvl w:val="0"/>
          <w:numId w:val="1"/>
        </w:numPr>
        <w:spacing w:before="288" w:after="288"/>
        <w:ind w:left="0" w:right="0" w:hanging="0"/>
        <w:rPr/>
      </w:pPr>
      <w:commentRangeStart w:id="36"/>
      <w:r>
        <w:rPr>
          <w:sz w:val="21"/>
          <w:szCs w:val="21"/>
        </w:rPr>
        <w:t>DAS INFRAÇÕES ADMINISTRATIVAS E SANÇÕES</w:t>
      </w:r>
      <w:bookmarkStart w:id="53" w:name="_Toc136943941"/>
      <w:bookmarkEnd w:id="53"/>
      <w:commentRangeEnd w:id="36"/>
      <w:r>
        <w:commentReference w:id="36"/>
      </w:r>
      <w:r>
        <w:rPr>
          <w:sz w:val="21"/>
          <w:szCs w:val="21"/>
        </w:rPr>
      </w:r>
    </w:p>
    <w:p>
      <w:pPr>
        <w:pStyle w:val="Nivel2"/>
        <w:numPr>
          <w:ilvl w:val="1"/>
          <w:numId w:val="1"/>
        </w:numPr>
        <w:ind w:left="0" w:hanging="0"/>
        <w:rPr>
          <w:sz w:val="21"/>
          <w:szCs w:val="21"/>
        </w:rPr>
      </w:pPr>
      <w:r>
        <w:rPr>
          <w:sz w:val="21"/>
          <w:szCs w:val="21"/>
        </w:rPr>
        <w:t xml:space="preserve">Comete infração administrativa, nos termos da lei, o licitante que, com dolo ou culpa: </w:t>
      </w:r>
    </w:p>
    <w:p>
      <w:pPr>
        <w:pStyle w:val="Nivel3"/>
        <w:numPr>
          <w:ilvl w:val="2"/>
          <w:numId w:val="1"/>
        </w:numPr>
        <w:tabs>
          <w:tab w:val="left" w:pos="0" w:leader="none"/>
          <w:tab w:val="left" w:pos="1134" w:leader="none"/>
        </w:tabs>
        <w:ind w:left="284" w:hanging="0"/>
        <w:rPr>
          <w:sz w:val="21"/>
          <w:szCs w:val="21"/>
        </w:rPr>
      </w:pPr>
      <w:bookmarkStart w:id="54" w:name="_Ref114668085"/>
      <w:r>
        <w:rPr>
          <w:sz w:val="21"/>
          <w:szCs w:val="21"/>
        </w:rPr>
        <w:t>Deixar de entregar a documentação exigida para o certame ou não entregar qualquer documento que tenha sido solicitado pelo/a pregoeiro/a durante o certame;</w:t>
      </w:r>
      <w:bookmarkEnd w:id="54"/>
    </w:p>
    <w:p>
      <w:pPr>
        <w:pStyle w:val="Nivel3"/>
        <w:numPr>
          <w:ilvl w:val="2"/>
          <w:numId w:val="1"/>
        </w:numPr>
        <w:tabs>
          <w:tab w:val="left" w:pos="0" w:leader="none"/>
          <w:tab w:val="left" w:pos="1134" w:leader="none"/>
        </w:tabs>
        <w:ind w:left="284" w:hanging="0"/>
        <w:rPr>
          <w:sz w:val="21"/>
          <w:szCs w:val="21"/>
        </w:rPr>
      </w:pPr>
      <w:bookmarkStart w:id="55" w:name="_Ref114668108"/>
      <w:r>
        <w:rPr>
          <w:sz w:val="21"/>
          <w:szCs w:val="21"/>
        </w:rPr>
        <w:t>Salvo em decorrência de fato superveniente devidamente justificado, não mantiver a proposta em especial quando:</w:t>
      </w:r>
      <w:bookmarkEnd w:id="55"/>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Não enviar a proposta adequada ao último lance ofertado ou após a negociação;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Recusar-se a enviar o detalhamento da proposta quando exigível;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Pedir para ser desclassificado quando encerrada a etapa competitiva; ou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Deixar de apresentar amostra;</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Apresentar proposta ou amostra em desacordo com as especificações do edital; </w:t>
      </w:r>
    </w:p>
    <w:p>
      <w:pPr>
        <w:pStyle w:val="Nivel3"/>
        <w:numPr>
          <w:ilvl w:val="2"/>
          <w:numId w:val="1"/>
        </w:numPr>
        <w:tabs>
          <w:tab w:val="left" w:pos="0" w:leader="none"/>
          <w:tab w:val="left" w:pos="1134" w:leader="none"/>
        </w:tabs>
        <w:ind w:left="284" w:hanging="0"/>
        <w:rPr>
          <w:sz w:val="21"/>
          <w:szCs w:val="21"/>
        </w:rPr>
      </w:pPr>
      <w:bookmarkStart w:id="56" w:name="_Ref114668139"/>
      <w:r>
        <w:rPr>
          <w:sz w:val="21"/>
          <w:szCs w:val="21"/>
        </w:rPr>
        <w:t>Não celebrar o contrato ou não entregar a documentação exigida para a contratação, quando convocado dentro do prazo de validade de sua proposta;</w:t>
      </w:r>
      <w:bookmarkEnd w:id="56"/>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Recusar-se, sem justificativa, a assinar o contrato ou a ata de registro de preço, ou a aceitar ou retirar o instrumento equivalente no prazo estabelecido pela Administração;</w:t>
      </w:r>
    </w:p>
    <w:p>
      <w:pPr>
        <w:pStyle w:val="Nivel3"/>
        <w:numPr>
          <w:ilvl w:val="2"/>
          <w:numId w:val="1"/>
        </w:numPr>
        <w:tabs>
          <w:tab w:val="left" w:pos="0" w:leader="none"/>
          <w:tab w:val="left" w:pos="1134" w:leader="none"/>
        </w:tabs>
        <w:ind w:left="284" w:hanging="0"/>
        <w:rPr>
          <w:sz w:val="21"/>
          <w:szCs w:val="21"/>
        </w:rPr>
      </w:pPr>
      <w:bookmarkStart w:id="57" w:name="_Ref114668249"/>
      <w:r>
        <w:rPr>
          <w:sz w:val="21"/>
          <w:szCs w:val="21"/>
        </w:rPr>
        <w:t>Apresentar declaração ou documentação falsa exigida para o certame ou prestar declaração falsa durante a licitação</w:t>
      </w:r>
      <w:bookmarkEnd w:id="57"/>
    </w:p>
    <w:p>
      <w:pPr>
        <w:pStyle w:val="Nivel3"/>
        <w:numPr>
          <w:ilvl w:val="2"/>
          <w:numId w:val="1"/>
        </w:numPr>
        <w:tabs>
          <w:tab w:val="left" w:pos="0" w:leader="none"/>
          <w:tab w:val="left" w:pos="1134" w:leader="none"/>
        </w:tabs>
        <w:ind w:left="284" w:hanging="0"/>
        <w:rPr>
          <w:sz w:val="21"/>
          <w:szCs w:val="21"/>
        </w:rPr>
      </w:pPr>
      <w:bookmarkStart w:id="58" w:name="_Ref114668245"/>
      <w:r>
        <w:rPr>
          <w:sz w:val="21"/>
          <w:szCs w:val="21"/>
        </w:rPr>
        <w:t>Fraudar a licitação</w:t>
      </w:r>
      <w:bookmarkEnd w:id="58"/>
    </w:p>
    <w:p>
      <w:pPr>
        <w:pStyle w:val="Nivel3"/>
        <w:numPr>
          <w:ilvl w:val="2"/>
          <w:numId w:val="1"/>
        </w:numPr>
        <w:tabs>
          <w:tab w:val="left" w:pos="0" w:leader="none"/>
          <w:tab w:val="left" w:pos="1134" w:leader="none"/>
        </w:tabs>
        <w:ind w:left="284" w:hanging="0"/>
        <w:rPr>
          <w:sz w:val="21"/>
          <w:szCs w:val="21"/>
        </w:rPr>
      </w:pPr>
      <w:bookmarkStart w:id="59" w:name="_Ref114668247"/>
      <w:r>
        <w:rPr>
          <w:sz w:val="21"/>
          <w:szCs w:val="21"/>
        </w:rPr>
        <w:t>Comportar-se de modo inidôneo ou cometer fraude de qualquer natureza, em especial quando:</w:t>
      </w:r>
      <w:bookmarkEnd w:id="59"/>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Agir em conluio ou em desconformidade com a lei;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Induzir deliberadamente a erro no julgamento;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Apresentar amostra falsificada ou deteriorada; </w:t>
      </w:r>
    </w:p>
    <w:p>
      <w:pPr>
        <w:pStyle w:val="Nivel3"/>
        <w:numPr>
          <w:ilvl w:val="2"/>
          <w:numId w:val="1"/>
        </w:numPr>
        <w:tabs>
          <w:tab w:val="left" w:pos="0" w:leader="none"/>
          <w:tab w:val="left" w:pos="1134" w:leader="none"/>
        </w:tabs>
        <w:ind w:left="284" w:hanging="0"/>
        <w:rPr>
          <w:sz w:val="21"/>
          <w:szCs w:val="21"/>
        </w:rPr>
      </w:pPr>
      <w:bookmarkStart w:id="60" w:name="_Ref114668251"/>
      <w:r>
        <w:rPr>
          <w:sz w:val="21"/>
          <w:szCs w:val="21"/>
        </w:rPr>
        <w:t>Praticar atos ilícitos com vistas a frustrar os objetivos da licitação</w:t>
      </w:r>
      <w:bookmarkEnd w:id="60"/>
    </w:p>
    <w:p>
      <w:pPr>
        <w:pStyle w:val="Nivel3"/>
        <w:numPr>
          <w:ilvl w:val="2"/>
          <w:numId w:val="1"/>
        </w:numPr>
        <w:tabs>
          <w:tab w:val="left" w:pos="0" w:leader="none"/>
          <w:tab w:val="left" w:pos="1134" w:leader="none"/>
        </w:tabs>
        <w:ind w:left="284" w:hanging="0"/>
        <w:rPr/>
      </w:pPr>
      <w:bookmarkStart w:id="61" w:name="_Ref114668252"/>
      <w:r>
        <w:rPr>
          <w:sz w:val="21"/>
          <w:szCs w:val="21"/>
        </w:rPr>
        <w:t xml:space="preserve">Praticar ato lesivo previsto no </w:t>
      </w:r>
      <w:r>
        <w:fldChar w:fldCharType="begin"/>
      </w:r>
      <w:r>
        <w:rPr>
          <w:sz w:val="21"/>
          <w:szCs w:val="21"/>
        </w:rPr>
        <w:instrText> HYPERLINK "https://www.planalto.gov.br/ccivil_03/_ato2011-2014/2013/lei/l12846.htm" \l "art5"</w:instrText>
      </w:r>
      <w:r>
        <w:rPr>
          <w:sz w:val="21"/>
          <w:szCs w:val="21"/>
        </w:rPr>
        <w:fldChar w:fldCharType="separate"/>
      </w:r>
      <w:r>
        <w:rPr>
          <w:sz w:val="21"/>
          <w:szCs w:val="21"/>
        </w:rPr>
        <w:t>art. 5º da Lei n.º 12.846, de 2013</w:t>
      </w:r>
      <w:r>
        <w:rPr>
          <w:sz w:val="21"/>
          <w:szCs w:val="21"/>
        </w:rPr>
        <w:fldChar w:fldCharType="end"/>
      </w:r>
      <w:r>
        <w:rPr>
          <w:sz w:val="21"/>
          <w:szCs w:val="21"/>
        </w:rPr>
        <w:t>.</w:t>
      </w:r>
      <w:bookmarkEnd w:id="61"/>
    </w:p>
    <w:p>
      <w:pPr>
        <w:pStyle w:val="Nivel2"/>
        <w:numPr>
          <w:ilvl w:val="1"/>
          <w:numId w:val="1"/>
        </w:numPr>
        <w:ind w:left="0" w:hanging="0"/>
        <w:rPr/>
      </w:pPr>
      <w:r>
        <w:rPr>
          <w:sz w:val="21"/>
          <w:szCs w:val="21"/>
        </w:rPr>
        <w:t xml:space="preserve">Com fulcro no </w:t>
      </w:r>
      <w:r>
        <w:rPr>
          <w:rStyle w:val="LinkdaInternet"/>
          <w:sz w:val="21"/>
          <w:szCs w:val="21"/>
        </w:rPr>
        <w:t xml:space="preserve">art. 156 da </w:t>
      </w:r>
      <w:hyperlink r:id="rId26">
        <w:r>
          <w:rPr>
            <w:rStyle w:val="LinkdaInternet"/>
            <w:sz w:val="21"/>
            <w:szCs w:val="21"/>
          </w:rPr>
          <w:t>Lei nº 14.133, de 2021</w:t>
        </w:r>
      </w:hyperlink>
      <w:r>
        <w:rPr>
          <w:sz w:val="21"/>
          <w:szCs w:val="21"/>
        </w:rPr>
        <w:t>, a Administração poderá, garantida a prévia defesa, aplicar aos licitantes e/ou adjudicatários as seguintes sanções, sem prejuízo das responsabilidades civil e criminal.</w:t>
      </w:r>
    </w:p>
    <w:p>
      <w:pPr>
        <w:pStyle w:val="Nivel2"/>
        <w:numPr>
          <w:ilvl w:val="1"/>
          <w:numId w:val="1"/>
        </w:numPr>
        <w:ind w:left="0" w:hanging="0"/>
        <w:rPr/>
      </w:pPr>
      <w:r>
        <w:rPr>
          <w:sz w:val="21"/>
          <w:szCs w:val="21"/>
        </w:rPr>
        <w:t>Em caso d</w:t>
      </w:r>
      <w:r>
        <w:rPr>
          <w:color w:val="000000"/>
          <w:sz w:val="21"/>
          <w:szCs w:val="21"/>
          <w:shd w:fill="FFFFFF" w:val="clear"/>
        </w:rPr>
        <w:t xml:space="preserve">e aplicação de </w:t>
      </w:r>
      <w:commentRangeStart w:id="37"/>
      <w:r>
        <w:rPr>
          <w:color w:val="000000"/>
          <w:sz w:val="21"/>
          <w:szCs w:val="21"/>
          <w:shd w:fill="FFFFFF" w:val="clear"/>
        </w:rPr>
        <w:t xml:space="preserve">multa será recolhida em percentual de 0,5% a 30% incidente sobre o valor do objeto licitado, recolhida no prazo máximo de </w:t>
      </w:r>
      <w:r>
        <w:rPr>
          <w:b/>
          <w:bCs/>
          <w:color w:val="000000"/>
          <w:sz w:val="21"/>
          <w:szCs w:val="21"/>
          <w:shd w:fill="FFFFFF" w:val="clear"/>
        </w:rPr>
        <w:t xml:space="preserve">30 (trinta) dias </w:t>
      </w:r>
      <w:r>
        <w:rPr>
          <w:color w:val="000000"/>
          <w:sz w:val="21"/>
          <w:szCs w:val="21"/>
          <w:shd w:fill="FFFFFF" w:val="clear"/>
        </w:rPr>
        <w:t xml:space="preserve">corridos, a contar da comunicação oficial. </w:t>
      </w:r>
    </w:p>
    <w:p>
      <w:pPr>
        <w:pStyle w:val="Nivel3"/>
        <w:numPr>
          <w:ilvl w:val="2"/>
          <w:numId w:val="1"/>
        </w:numPr>
        <w:ind w:left="284" w:hanging="0"/>
        <w:rPr>
          <w:color w:val="000000"/>
          <w:shd w:fill="FFFFFF" w:val="clear"/>
        </w:rPr>
      </w:pPr>
      <w:r>
        <w:rPr>
          <w:color w:val="000000"/>
          <w:sz w:val="21"/>
          <w:szCs w:val="21"/>
          <w:shd w:fill="FFFFFF" w:val="clear"/>
        </w:rPr>
        <w:t xml:space="preserve">Para as infrações previstas nos itens </w:t>
      </w:r>
      <w:r>
        <w:rPr>
          <w:color w:val="000000"/>
          <w:sz w:val="21"/>
          <w:szCs w:val="21"/>
          <w:shd w:fill="FFFFFF" w:val="clear"/>
        </w:rPr>
        <w:fldChar w:fldCharType="begin"/>
      </w:r>
      <w:r>
        <w:rPr>
          <w:sz w:val="21"/>
          <w:shd w:fill="FFFFFF" w:val="clear"/>
          <w:szCs w:val="21"/>
          <w:color w:val="000000"/>
        </w:rPr>
        <w:instrText> REF _Ref114668085 \r \h </w:instrText>
      </w:r>
      <w:r>
        <w:rPr>
          <w:sz w:val="21"/>
          <w:shd w:fill="FFFFFF" w:val="clear"/>
          <w:szCs w:val="21"/>
          <w:color w:val="000000"/>
        </w:rPr>
        <w:fldChar w:fldCharType="separate"/>
      </w:r>
      <w:r>
        <w:rPr>
          <w:sz w:val="21"/>
          <w:shd w:fill="FFFFFF" w:val="clear"/>
          <w:szCs w:val="21"/>
          <w:color w:val="000000"/>
        </w:rPr>
        <w:t>15.1.1.</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_Ref114668108 \r \h </w:instrText>
      </w:r>
      <w:r>
        <w:rPr>
          <w:sz w:val="21"/>
          <w:shd w:fill="FFFFFF" w:val="clear"/>
          <w:szCs w:val="21"/>
          <w:color w:val="000000"/>
        </w:rPr>
        <w:fldChar w:fldCharType="separate"/>
      </w:r>
      <w:r>
        <w:rPr>
          <w:sz w:val="21"/>
          <w:shd w:fill="FFFFFF" w:val="clear"/>
          <w:szCs w:val="21"/>
          <w:color w:val="000000"/>
        </w:rPr>
        <w:t>15.1.2.</w:t>
      </w:r>
      <w:r>
        <w:rPr>
          <w:sz w:val="21"/>
          <w:shd w:fill="FFFFFF" w:val="clear"/>
          <w:szCs w:val="21"/>
          <w:color w:val="000000"/>
        </w:rPr>
        <w:fldChar w:fldCharType="end"/>
      </w:r>
      <w:r>
        <w:rPr>
          <w:color w:val="000000"/>
          <w:sz w:val="21"/>
          <w:szCs w:val="21"/>
          <w:shd w:fill="FFFFFF" w:val="clear"/>
        </w:rPr>
        <w:t xml:space="preserve"> e </w:t>
      </w:r>
      <w:r>
        <w:rPr>
          <w:color w:val="000000"/>
          <w:sz w:val="21"/>
          <w:szCs w:val="21"/>
          <w:shd w:fill="FFFFFF" w:val="clear"/>
        </w:rPr>
        <w:fldChar w:fldCharType="begin"/>
      </w:r>
      <w:r>
        <w:rPr>
          <w:sz w:val="21"/>
          <w:shd w:fill="FFFFFF" w:val="clear"/>
          <w:szCs w:val="21"/>
          <w:color w:val="000000"/>
        </w:rPr>
        <w:instrText> REF _Ref114668139 \r \h </w:instrText>
      </w:r>
      <w:r>
        <w:rPr>
          <w:sz w:val="21"/>
          <w:shd w:fill="FFFFFF" w:val="clear"/>
          <w:szCs w:val="21"/>
          <w:color w:val="000000"/>
        </w:rPr>
        <w:fldChar w:fldCharType="separate"/>
      </w:r>
      <w:r>
        <w:rPr>
          <w:sz w:val="21"/>
          <w:shd w:fill="FFFFFF" w:val="clear"/>
          <w:szCs w:val="21"/>
          <w:color w:val="000000"/>
        </w:rPr>
        <w:t>15.1.3.</w:t>
      </w:r>
      <w:r>
        <w:rPr>
          <w:sz w:val="21"/>
          <w:shd w:fill="FFFFFF" w:val="clear"/>
          <w:szCs w:val="21"/>
          <w:color w:val="000000"/>
        </w:rPr>
        <w:fldChar w:fldCharType="end"/>
      </w:r>
      <w:r>
        <w:rPr>
          <w:color w:val="000000"/>
          <w:sz w:val="21"/>
          <w:szCs w:val="21"/>
          <w:shd w:fill="FFFFFF" w:val="clear"/>
        </w:rPr>
        <w:t>, a multa será de 0,5% a 15% do valor do objeto licitado.</w:t>
      </w:r>
    </w:p>
    <w:p>
      <w:pPr>
        <w:pStyle w:val="Nivel3"/>
        <w:numPr>
          <w:ilvl w:val="2"/>
          <w:numId w:val="1"/>
        </w:numPr>
        <w:ind w:left="284" w:hanging="0"/>
        <w:rPr>
          <w:color w:val="000000"/>
          <w:shd w:fill="FFFFFF" w:val="clear"/>
        </w:rPr>
      </w:pPr>
      <w:r>
        <w:rPr>
          <w:color w:val="000000"/>
          <w:sz w:val="21"/>
          <w:szCs w:val="21"/>
          <w:shd w:fill="FFFFFF" w:val="clear"/>
        </w:rPr>
        <w:t xml:space="preserve">Para as infrações previstas nos itens </w:t>
      </w:r>
      <w:r>
        <w:rPr>
          <w:color w:val="000000"/>
          <w:sz w:val="21"/>
          <w:szCs w:val="21"/>
          <w:shd w:fill="FFFFFF" w:val="clear"/>
        </w:rPr>
        <w:fldChar w:fldCharType="begin"/>
      </w:r>
      <w:r>
        <w:rPr>
          <w:sz w:val="21"/>
          <w:shd w:fill="FFFFFF" w:val="clear"/>
          <w:szCs w:val="21"/>
          <w:color w:val="000000"/>
        </w:rPr>
        <w:instrText> REF _Ref114668249 \r \h </w:instrText>
      </w:r>
      <w:r>
        <w:rPr>
          <w:sz w:val="21"/>
          <w:shd w:fill="FFFFFF" w:val="clear"/>
          <w:szCs w:val="21"/>
          <w:color w:val="000000"/>
        </w:rPr>
        <w:fldChar w:fldCharType="separate"/>
      </w:r>
      <w:r>
        <w:rPr>
          <w:sz w:val="21"/>
          <w:shd w:fill="FFFFFF" w:val="clear"/>
          <w:szCs w:val="21"/>
          <w:color w:val="000000"/>
        </w:rPr>
        <w:t>15.1.4.</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_Ref114668245 \r \h </w:instrText>
      </w:r>
      <w:r>
        <w:rPr>
          <w:sz w:val="21"/>
          <w:shd w:fill="FFFFFF" w:val="clear"/>
          <w:szCs w:val="21"/>
          <w:color w:val="000000"/>
        </w:rPr>
        <w:fldChar w:fldCharType="separate"/>
      </w:r>
      <w:r>
        <w:rPr>
          <w:sz w:val="21"/>
          <w:shd w:fill="FFFFFF" w:val="clear"/>
          <w:szCs w:val="21"/>
          <w:color w:val="000000"/>
        </w:rPr>
        <w:t>15.1.5.</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_Ref114668247 \r \h </w:instrText>
      </w:r>
      <w:r>
        <w:rPr>
          <w:sz w:val="21"/>
          <w:shd w:fill="FFFFFF" w:val="clear"/>
          <w:szCs w:val="21"/>
          <w:color w:val="000000"/>
        </w:rPr>
        <w:fldChar w:fldCharType="separate"/>
      </w:r>
      <w:r>
        <w:rPr>
          <w:sz w:val="21"/>
          <w:shd w:fill="FFFFFF" w:val="clear"/>
          <w:szCs w:val="21"/>
          <w:color w:val="000000"/>
        </w:rPr>
        <w:t>15.1.6.</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_Ref114668251 \r \h </w:instrText>
      </w:r>
      <w:r>
        <w:rPr>
          <w:sz w:val="21"/>
          <w:shd w:fill="FFFFFF" w:val="clear"/>
          <w:szCs w:val="21"/>
          <w:color w:val="000000"/>
        </w:rPr>
        <w:fldChar w:fldCharType="separate"/>
      </w:r>
      <w:r>
        <w:rPr>
          <w:sz w:val="21"/>
          <w:shd w:fill="FFFFFF" w:val="clear"/>
          <w:szCs w:val="21"/>
          <w:color w:val="000000"/>
        </w:rPr>
        <w:t>15.1.7.</w:t>
      </w:r>
      <w:r>
        <w:rPr>
          <w:sz w:val="21"/>
          <w:shd w:fill="FFFFFF" w:val="clear"/>
          <w:szCs w:val="21"/>
          <w:color w:val="000000"/>
        </w:rPr>
        <w:fldChar w:fldCharType="end"/>
      </w:r>
      <w:r>
        <w:rPr>
          <w:color w:val="000000"/>
          <w:sz w:val="21"/>
          <w:szCs w:val="21"/>
          <w:shd w:fill="FFFFFF" w:val="clear"/>
        </w:rPr>
        <w:t xml:space="preserve"> e </w:t>
      </w:r>
      <w:r>
        <w:rPr>
          <w:color w:val="000000"/>
          <w:sz w:val="21"/>
          <w:szCs w:val="21"/>
          <w:shd w:fill="FFFFFF" w:val="clear"/>
        </w:rPr>
        <w:fldChar w:fldCharType="begin"/>
      </w:r>
      <w:r>
        <w:rPr>
          <w:sz w:val="21"/>
          <w:shd w:fill="FFFFFF" w:val="clear"/>
          <w:szCs w:val="21"/>
          <w:color w:val="000000"/>
        </w:rPr>
        <w:instrText> REF _Ref114668252 \r \h </w:instrText>
      </w:r>
      <w:r>
        <w:rPr>
          <w:sz w:val="21"/>
          <w:shd w:fill="FFFFFF" w:val="clear"/>
          <w:szCs w:val="21"/>
          <w:color w:val="000000"/>
        </w:rPr>
        <w:fldChar w:fldCharType="separate"/>
      </w:r>
      <w:r>
        <w:rPr>
          <w:sz w:val="21"/>
          <w:shd w:fill="FFFFFF" w:val="clear"/>
          <w:szCs w:val="21"/>
          <w:color w:val="000000"/>
        </w:rPr>
        <w:t>15.1.8.</w:t>
      </w:r>
      <w:r>
        <w:rPr>
          <w:sz w:val="21"/>
          <w:shd w:fill="FFFFFF" w:val="clear"/>
          <w:szCs w:val="21"/>
          <w:color w:val="000000"/>
        </w:rPr>
        <w:fldChar w:fldCharType="end"/>
      </w:r>
      <w:r>
        <w:rPr>
          <w:color w:val="000000"/>
          <w:sz w:val="21"/>
          <w:szCs w:val="21"/>
          <w:shd w:fill="FFFFFF" w:val="clear"/>
        </w:rPr>
        <w:t>, a multa será de 15% a 30% do valor do objeto licitado.</w:t>
      </w:r>
      <w:commentRangeEnd w:id="37"/>
      <w:r>
        <w:commentReference w:id="37"/>
      </w:r>
      <w:r>
        <w:rPr>
          <w:color w:val="000000"/>
          <w:sz w:val="21"/>
          <w:szCs w:val="21"/>
          <w:shd w:fill="FFFFFF" w:val="clear"/>
        </w:rPr>
      </w:r>
    </w:p>
    <w:p>
      <w:pPr>
        <w:pStyle w:val="Nivel2"/>
        <w:numPr>
          <w:ilvl w:val="1"/>
          <w:numId w:val="1"/>
        </w:numPr>
        <w:ind w:left="0" w:hanging="0"/>
        <w:rPr>
          <w:sz w:val="21"/>
          <w:szCs w:val="21"/>
        </w:rPr>
      </w:pPr>
      <w:r>
        <w:rPr>
          <w:color w:val="000000"/>
          <w:sz w:val="21"/>
          <w:szCs w:val="21"/>
          <w:shd w:fill="FFFFFF" w:val="clear"/>
        </w:rPr>
        <w:t>As sanções de advertência, impedimento de licitar e contratar e declaração de inidoneidade para licitar ou contratar poderã</w:t>
      </w:r>
      <w:r>
        <w:rPr>
          <w:sz w:val="21"/>
          <w:szCs w:val="21"/>
        </w:rPr>
        <w:t>o ser aplicadas, cumulativamente ou não, à penalidade de multa.</w:t>
      </w:r>
    </w:p>
    <w:p>
      <w:pPr>
        <w:pStyle w:val="Nivel2"/>
        <w:numPr>
          <w:ilvl w:val="1"/>
          <w:numId w:val="1"/>
        </w:numPr>
        <w:ind w:left="0" w:hanging="0"/>
        <w:rPr/>
      </w:pPr>
      <w:commentRangeStart w:id="38"/>
      <w:r>
        <w:rPr>
          <w:sz w:val="21"/>
          <w:szCs w:val="21"/>
        </w:rPr>
        <w:t>A apuração de responsabilidade relacionada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pPr>
        <w:pStyle w:val="Nivel01"/>
        <w:numPr>
          <w:ilvl w:val="0"/>
          <w:numId w:val="1"/>
        </w:numPr>
        <w:spacing w:before="288" w:after="288"/>
        <w:ind w:left="0" w:right="0" w:hanging="0"/>
        <w:rPr/>
      </w:pPr>
      <w:r>
        <w:rPr/>
      </w:r>
      <w:commentRangeEnd w:id="38"/>
      <w:r>
        <w:commentReference w:id="38"/>
      </w:r>
      <w:r>
        <w:rPr>
          <w:sz w:val="21"/>
          <w:szCs w:val="21"/>
        </w:rPr>
        <w:t>DAS DISPOS</w:t>
      </w:r>
      <w:bookmarkStart w:id="62" w:name="_Toc136943943"/>
      <w:bookmarkEnd w:id="62"/>
      <w:r>
        <w:rPr>
          <w:sz w:val="21"/>
          <w:szCs w:val="21"/>
        </w:rPr>
        <w:t>IÇÕES GERAIS</w:t>
      </w:r>
    </w:p>
    <w:p>
      <w:pPr>
        <w:pStyle w:val="Nivel2"/>
        <w:numPr>
          <w:ilvl w:val="1"/>
          <w:numId w:val="1"/>
        </w:numPr>
        <w:ind w:left="0" w:hanging="0"/>
        <w:rPr>
          <w:sz w:val="21"/>
          <w:szCs w:val="21"/>
        </w:rPr>
      </w:pPr>
      <w:r>
        <w:rPr>
          <w:sz w:val="21"/>
          <w:szCs w:val="21"/>
        </w:rPr>
        <w:t>Serão divulgados os atos da sessão pública no sistema eletrônico Comprasgov.</w:t>
      </w:r>
    </w:p>
    <w:p>
      <w:pPr>
        <w:pStyle w:val="Nivel2"/>
        <w:numPr>
          <w:ilvl w:val="1"/>
          <w:numId w:val="1"/>
        </w:numPr>
        <w:ind w:left="0" w:hanging="0"/>
        <w:rPr/>
      </w:pPr>
      <w:r>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sz w:val="21"/>
          <w:szCs w:val="21"/>
        </w:rPr>
      </w:pPr>
      <w:r>
        <w:rPr>
          <w:sz w:val="21"/>
          <w:szCs w:val="21"/>
        </w:rPr>
        <w:t>Todas as referências de tempo no Edital, no aviso e durante a sessão pública observarão o horário de Brasília - DF.</w:t>
      </w:r>
    </w:p>
    <w:p>
      <w:pPr>
        <w:pStyle w:val="Nivel2"/>
        <w:numPr>
          <w:ilvl w:val="1"/>
          <w:numId w:val="1"/>
        </w:numPr>
        <w:ind w:left="0" w:hanging="0"/>
        <w:rPr>
          <w:sz w:val="21"/>
          <w:szCs w:val="21"/>
        </w:rPr>
      </w:pPr>
      <w:r>
        <w:rPr>
          <w:sz w:val="21"/>
          <w:szCs w:val="21"/>
        </w:rPr>
        <w:t>A homologação do resultado desta licitação não implicará direito à contratação.</w:t>
      </w:r>
    </w:p>
    <w:p>
      <w:pPr>
        <w:pStyle w:val="Nivel2"/>
        <w:numPr>
          <w:ilvl w:val="1"/>
          <w:numId w:val="1"/>
        </w:numPr>
        <w:ind w:left="0" w:hanging="0"/>
        <w:rPr>
          <w:sz w:val="21"/>
          <w:szCs w:val="21"/>
        </w:rPr>
      </w:pPr>
      <w:r>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sz w:val="21"/>
          <w:szCs w:val="21"/>
        </w:rPr>
      </w:pPr>
      <w:r>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sz w:val="21"/>
          <w:szCs w:val="21"/>
        </w:rPr>
      </w:pPr>
      <w:r>
        <w:rPr>
          <w:sz w:val="21"/>
          <w:szCs w:val="21"/>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sz w:val="21"/>
          <w:szCs w:val="21"/>
        </w:rPr>
      </w:pPr>
      <w:r>
        <w:rPr>
          <w:sz w:val="21"/>
          <w:szCs w:val="21"/>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sz w:val="21"/>
          <w:szCs w:val="21"/>
        </w:rPr>
      </w:pPr>
      <w:r>
        <w:rPr>
          <w:sz w:val="21"/>
          <w:szCs w:val="21"/>
        </w:rPr>
        <w:t>Em caso de divergência entre disposições deste Edital e de seus anexos ou demais peças que compõem o processo, prevalecerá as deste Edital.</w:t>
      </w:r>
    </w:p>
    <w:p>
      <w:pPr>
        <w:pStyle w:val="Nivel2"/>
        <w:numPr>
          <w:ilvl w:val="1"/>
          <w:numId w:val="1"/>
        </w:numPr>
        <w:ind w:left="0" w:hanging="0"/>
        <w:rPr/>
      </w:pPr>
      <w:r>
        <w:rPr>
          <w:sz w:val="21"/>
          <w:szCs w:val="21"/>
        </w:rPr>
        <w:t xml:space="preserve">Qualquer informação a respeito deste Edital será fornecida aos interessados pela SERMALI/DILIC, localizada na Rua Passos de Oliveira, 1101 – Centro - São José dos Pinhais/PR, telefone (41) 3299-5907, (41) 3381-6670 e/ou e-mail </w:t>
      </w:r>
      <w:r>
        <w:rPr>
          <w:sz w:val="21"/>
          <w:szCs w:val="21"/>
          <w:u w:val="single"/>
          <w:shd w:fill="FFFFFF" w:val="clear"/>
        </w:rPr>
        <w:t>ricardo.hochheim@sjp.pr.gov.br</w:t>
      </w:r>
      <w:r>
        <w:rPr>
          <w:sz w:val="21"/>
          <w:szCs w:val="21"/>
        </w:rPr>
        <w:t>em dias úteis, no horário compreendido das 08h00min às 12h00min e das 13h00min às 17h00min.</w:t>
      </w:r>
    </w:p>
    <w:p>
      <w:pPr>
        <w:pStyle w:val="Nivel2"/>
        <w:numPr>
          <w:ilvl w:val="1"/>
          <w:numId w:val="1"/>
        </w:numPr>
        <w:ind w:left="0" w:hanging="0"/>
        <w:rPr>
          <w:sz w:val="21"/>
          <w:szCs w:val="21"/>
        </w:rPr>
      </w:pPr>
      <w:r>
        <w:rPr>
          <w:sz w:val="21"/>
          <w:szCs w:val="21"/>
        </w:rPr>
        <w:t>Integram este Edital, para todos os fins e efeitos, os seguintes anexos:</w:t>
      </w:r>
    </w:p>
    <w:p>
      <w:pPr>
        <w:pStyle w:val="Nivel3"/>
        <w:tabs>
          <w:tab w:val="clear" w:pos="0"/>
        </w:tabs>
        <w:ind w:left="284" w:hanging="0"/>
        <w:rPr>
          <w:sz w:val="21"/>
          <w:szCs w:val="21"/>
        </w:rPr>
      </w:pPr>
      <w:r>
        <w:rPr>
          <w:sz w:val="21"/>
          <w:szCs w:val="21"/>
        </w:rPr>
        <w:t>ANEXO I - Termo de Referência</w:t>
      </w:r>
    </w:p>
    <w:p>
      <w:pPr>
        <w:pStyle w:val="Nivel3"/>
        <w:tabs>
          <w:tab w:val="clear" w:pos="0"/>
        </w:tabs>
        <w:ind w:left="284" w:hanging="0"/>
        <w:rPr>
          <w:sz w:val="21"/>
          <w:szCs w:val="21"/>
        </w:rPr>
      </w:pPr>
      <w:r>
        <w:rPr>
          <w:sz w:val="21"/>
          <w:szCs w:val="21"/>
        </w:rPr>
        <w:t>ANEXO II – Orçamento da Administração/Preço Máximo/Especificações Técnicas</w:t>
      </w:r>
    </w:p>
    <w:p>
      <w:pPr>
        <w:pStyle w:val="Nivel3"/>
        <w:tabs>
          <w:tab w:val="clear" w:pos="0"/>
        </w:tabs>
        <w:ind w:left="284" w:hanging="0"/>
        <w:rPr>
          <w:sz w:val="21"/>
          <w:szCs w:val="21"/>
        </w:rPr>
      </w:pPr>
      <w:r>
        <w:rPr>
          <w:sz w:val="21"/>
          <w:szCs w:val="21"/>
        </w:rPr>
        <w:t>AN</w:t>
      </w:r>
      <w:r>
        <w:rPr>
          <w:i w:val="false"/>
          <w:iCs w:val="false"/>
          <w:color w:val="000000"/>
          <w:sz w:val="21"/>
          <w:szCs w:val="21"/>
        </w:rPr>
        <w:t>EXO III – Modelo da Carta Proposta</w:t>
      </w:r>
    </w:p>
    <w:p>
      <w:pPr>
        <w:pStyle w:val="Nivel3"/>
        <w:tabs>
          <w:tab w:val="clear" w:pos="0"/>
        </w:tabs>
        <w:ind w:left="284" w:hanging="0"/>
        <w:rPr>
          <w:i w:val="false"/>
          <w:i w:val="false"/>
          <w:iCs w:val="false"/>
          <w:color w:val="000000"/>
        </w:rPr>
      </w:pPr>
      <w:r>
        <w:rPr>
          <w:i w:val="false"/>
          <w:iCs w:val="false"/>
          <w:color w:val="000000"/>
          <w:sz w:val="21"/>
          <w:szCs w:val="21"/>
        </w:rPr>
        <w:t>ANEXO IV – Minuta de Ata de Registro de Preços</w:t>
      </w:r>
    </w:p>
    <w:p>
      <w:pPr>
        <w:pStyle w:val="Nvel3R"/>
        <w:tabs>
          <w:tab w:val="clear" w:pos="0"/>
        </w:tabs>
        <w:ind w:left="284" w:hanging="0"/>
        <w:rPr/>
      </w:pPr>
      <w:r>
        <w:rPr>
          <w:i w:val="false"/>
          <w:iCs w:val="false"/>
          <w:color w:val="000000"/>
          <w:sz w:val="21"/>
          <w:szCs w:val="21"/>
        </w:rPr>
        <w:t>ANEXO V – Minuta do Contrato</w:t>
      </w:r>
    </w:p>
    <w:p>
      <w:pPr>
        <w:pStyle w:val="Normal"/>
        <w:widowControl w:val="false"/>
        <w:suppressLineNumbers/>
        <w:spacing w:lineRule="auto" w:line="276"/>
        <w:jc w:val="right"/>
        <w:rPr>
          <w:rFonts w:ascii="Arial" w:hAnsi="Arial" w:cs="Arial"/>
          <w:sz w:val="21"/>
          <w:szCs w:val="21"/>
        </w:rPr>
      </w:pPr>
      <w:r>
        <w:rPr>
          <w:rFonts w:cs="Arial" w:ascii="Arial" w:hAnsi="Arial"/>
          <w:sz w:val="21"/>
          <w:szCs w:val="21"/>
        </w:rPr>
        <w:t>São José dos Pinhais, 05 de setembro de 2024.</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tbl>
      <w:tblPr>
        <w:tblW w:w="9212" w:type="dxa"/>
        <w:jc w:val="left"/>
        <w:tblInd w:w="0" w:type="dxa"/>
        <w:tblLayout w:type="fixed"/>
        <w:tblCellMar>
          <w:top w:w="55" w:type="dxa"/>
          <w:left w:w="55" w:type="dxa"/>
          <w:bottom w:w="55" w:type="dxa"/>
          <w:right w:w="55" w:type="dxa"/>
        </w:tblCellMar>
        <w:tblLook w:val="0000"/>
      </w:tblPr>
      <w:tblGrid>
        <w:gridCol w:w="4250"/>
        <w:gridCol w:w="1075"/>
        <w:gridCol w:w="3887"/>
      </w:tblGrid>
      <w:tr>
        <w:trPr/>
        <w:tc>
          <w:tcPr>
            <w:tcW w:w="4250" w:type="dxa"/>
            <w:tcBorders/>
          </w:tcPr>
          <w:p>
            <w:pPr>
              <w:pStyle w:val="Normal"/>
              <w:widowControl w:val="false"/>
              <w:bidi w:val="0"/>
              <w:jc w:val="center"/>
              <w:rPr>
                <w:rFonts w:ascii="Arial" w:hAnsi="Arial"/>
                <w:b/>
                <w:b/>
                <w:bCs/>
                <w:color w:val="000000"/>
                <w:sz w:val="21"/>
                <w:szCs w:val="21"/>
              </w:rPr>
            </w:pPr>
            <w:r>
              <w:rPr>
                <w:rFonts w:ascii="Calibri" w:hAnsi="Calibri"/>
                <w:b/>
                <w:bCs/>
                <w:i w:val="false"/>
                <w:strike w:val="false"/>
                <w:dstrike w:val="false"/>
                <w:outline w:val="false"/>
                <w:shadow w:val="false"/>
                <w:color w:val="000000"/>
                <w:sz w:val="22"/>
                <w:szCs w:val="21"/>
                <w:u w:val="none"/>
                <w:em w:val="none"/>
              </w:rPr>
              <w:t>LUCAS GRUBBA PIGATTO</w:t>
            </w:r>
          </w:p>
          <w:p>
            <w:pPr>
              <w:pStyle w:val="Contedodatabela"/>
              <w:widowControl w:val="false"/>
              <w:jc w:val="center"/>
              <w:rPr>
                <w:rFonts w:ascii="Arial" w:hAnsi="Arial"/>
                <w:b/>
                <w:b/>
                <w:bCs/>
                <w:sz w:val="21"/>
                <w:szCs w:val="21"/>
              </w:rPr>
            </w:pPr>
            <w:r>
              <w:rPr>
                <w:rFonts w:ascii="Arial" w:hAnsi="Arial"/>
                <w:b/>
                <w:bCs/>
                <w:sz w:val="21"/>
                <w:szCs w:val="21"/>
              </w:rPr>
              <w:t>Secretário Municipal de Transportes e Trânsito</w:t>
            </w:r>
          </w:p>
        </w:tc>
        <w:tc>
          <w:tcPr>
            <w:tcW w:w="1075" w:type="dxa"/>
            <w:tcBorders/>
          </w:tcPr>
          <w:p>
            <w:pPr>
              <w:pStyle w:val="Contedodatabela"/>
              <w:widowControl w:val="false"/>
              <w:rPr/>
            </w:pPr>
            <w:r>
              <w:rPr/>
            </w:r>
          </w:p>
        </w:tc>
        <w:tc>
          <w:tcPr>
            <w:tcW w:w="3887" w:type="dxa"/>
            <w:tcBorders/>
          </w:tcPr>
          <w:p>
            <w:pPr>
              <w:pStyle w:val="Normal"/>
              <w:widowControl w:val="false"/>
              <w:suppressLineNumbers/>
              <w:spacing w:lineRule="auto" w:line="276"/>
              <w:jc w:val="center"/>
              <w:rPr>
                <w:rFonts w:ascii="Arial" w:hAnsi="Arial" w:cs="Arial"/>
                <w:b/>
                <w:b/>
                <w:sz w:val="21"/>
                <w:szCs w:val="21"/>
                <w:shd w:fill="FFFFFF" w:val="clear"/>
              </w:rPr>
            </w:pPr>
            <w:r>
              <w:rPr>
                <w:rFonts w:cs="Arial" w:ascii="Arial" w:hAnsi="Arial"/>
                <w:b/>
                <w:sz w:val="21"/>
                <w:szCs w:val="21"/>
                <w:shd w:fill="FFFFFF" w:val="clear"/>
              </w:rPr>
              <w:t>RAFAEL RUEDA MUHLMANN</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t>Secretário Municipal de Recursos Materiais e Licitações</w:t>
            </w:r>
          </w:p>
        </w:tc>
      </w:tr>
    </w:tbl>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ivel3"/>
        <w:tabs>
          <w:tab w:val="clear" w:pos="0"/>
        </w:tabs>
        <w:ind w:left="0" w:hanging="0"/>
        <w:jc w:val="center"/>
        <w:rPr>
          <w:color w:val="000000"/>
        </w:rPr>
      </w:pPr>
      <w:bookmarkStart w:id="63" w:name="_Hlk824735501"/>
      <w:bookmarkEnd w:id="63"/>
      <w:r>
        <w:rPr>
          <w:b/>
          <w:color w:val="000000"/>
          <w:sz w:val="21"/>
          <w:szCs w:val="21"/>
        </w:rPr>
        <w:t>ANEXO I</w:t>
      </w:r>
    </w:p>
    <w:p>
      <w:pPr>
        <w:pStyle w:val="Nivel3"/>
        <w:tabs>
          <w:tab w:val="clear" w:pos="0"/>
        </w:tabs>
        <w:ind w:left="0" w:hanging="0"/>
        <w:jc w:val="center"/>
        <w:rPr>
          <w:color w:val="000000"/>
        </w:rPr>
      </w:pPr>
      <w:r>
        <w:rPr>
          <w:b/>
          <w:color w:val="000000"/>
          <w:sz w:val="21"/>
          <w:szCs w:val="21"/>
        </w:rPr>
        <w:t>TERMO DE REFERÊNCIA</w:t>
      </w:r>
    </w:p>
    <w:p>
      <w:pPr>
        <w:pStyle w:val="Nivel3"/>
        <w:tabs>
          <w:tab w:val="clear" w:pos="0"/>
        </w:tabs>
        <w:ind w:left="0" w:hanging="0"/>
        <w:jc w:val="center"/>
        <w:rPr>
          <w:color w:val="000000"/>
        </w:rPr>
      </w:pPr>
      <w:r>
        <w:rPr>
          <w:b/>
          <w:color w:val="000000"/>
          <w:sz w:val="21"/>
          <w:szCs w:val="21"/>
        </w:rPr>
        <w:t>https://sisazul.sjp.pr.gov.br/webapp/portaltransparencia/wp_licitacao</w:t>
      </w:r>
    </w:p>
    <w:p>
      <w:pPr>
        <w:pStyle w:val="Normal"/>
        <w:rPr>
          <w:rFonts w:ascii="Arial" w:hAnsi="Arial" w:cs="Arial"/>
          <w:b/>
          <w:b/>
          <w:color w:val="FF0000"/>
          <w:sz w:val="21"/>
          <w:szCs w:val="21"/>
        </w:rPr>
      </w:pPr>
      <w:r>
        <w:rPr>
          <w:rFonts w:cs="Arial" w:ascii="Arial" w:hAnsi="Arial"/>
          <w:b/>
          <w:color w:val="FF0000"/>
          <w:sz w:val="21"/>
          <w:szCs w:val="21"/>
        </w:rPr>
      </w:r>
      <w:r>
        <w:br w:type="page"/>
      </w:r>
    </w:p>
    <w:p>
      <w:pPr>
        <w:pStyle w:val="Nivel3"/>
        <w:tabs>
          <w:tab w:val="clear" w:pos="0"/>
        </w:tabs>
        <w:ind w:left="1638" w:hanging="929"/>
        <w:jc w:val="center"/>
        <w:rPr>
          <w:color w:val="000000"/>
        </w:rPr>
      </w:pPr>
      <w:r>
        <w:rPr>
          <w:b/>
          <w:color w:val="000000"/>
          <w:sz w:val="21"/>
          <w:szCs w:val="21"/>
        </w:rPr>
        <w:t xml:space="preserve">ANEXO II </w:t>
      </w:r>
    </w:p>
    <w:p>
      <w:pPr>
        <w:pStyle w:val="Nivel3"/>
        <w:tabs>
          <w:tab w:val="clear" w:pos="0"/>
        </w:tabs>
        <w:ind w:left="1638" w:hanging="929"/>
        <w:jc w:val="center"/>
        <w:rPr>
          <w:color w:val="000000"/>
        </w:rPr>
      </w:pPr>
      <w:r>
        <w:rPr>
          <w:b/>
          <w:color w:val="000000"/>
          <w:sz w:val="21"/>
          <w:szCs w:val="21"/>
        </w:rPr>
        <w:t>ORÇAMENTO DA ADMINISTRAÇÃO/PREÇO MÁXIMO/ESPECIFICAÇÕES TÉCNICAS</w:t>
      </w:r>
    </w:p>
    <w:p>
      <w:pPr>
        <w:pStyle w:val="Normal"/>
        <w:rPr>
          <w:rFonts w:ascii="Arial" w:hAnsi="Arial" w:cs="Arial"/>
          <w:b/>
          <w:b/>
          <w:color w:val="FF0000"/>
          <w:sz w:val="21"/>
          <w:szCs w:val="21"/>
        </w:rPr>
      </w:pPr>
      <w:r>
        <w:rPr>
          <w:rFonts w:cs="Arial" w:ascii="Arial" w:hAnsi="Arial"/>
          <w:b/>
          <w:color w:val="FF0000"/>
          <w:sz w:val="21"/>
          <w:szCs w:val="21"/>
        </w:rPr>
      </w:r>
    </w:p>
    <w:p>
      <w:pPr>
        <w:pStyle w:val="Normal"/>
        <w:rPr>
          <w:rFonts w:ascii="Arial" w:hAnsi="Arial" w:cs="Arial"/>
          <w:b/>
          <w:b/>
          <w:color w:val="FF0000"/>
          <w:sz w:val="21"/>
          <w:szCs w:val="21"/>
        </w:rPr>
      </w:pPr>
      <w:r>
        <w:rPr>
          <w:rFonts w:cs="Arial" w:ascii="Arial" w:hAnsi="Arial"/>
          <w:b/>
          <w:color w:val="FF0000"/>
          <w:sz w:val="21"/>
          <w:szCs w:val="21"/>
        </w:rPr>
      </w:r>
    </w:p>
    <w:tbl>
      <w:tblPr>
        <w:tblW w:w="8896" w:type="dxa"/>
        <w:jc w:val="left"/>
        <w:tblInd w:w="-80" w:type="dxa"/>
        <w:tblLayout w:type="fixed"/>
        <w:tblCellMar>
          <w:top w:w="0" w:type="dxa"/>
          <w:left w:w="70" w:type="dxa"/>
          <w:bottom w:w="0" w:type="dxa"/>
          <w:right w:w="70" w:type="dxa"/>
        </w:tblCellMar>
        <w:tblLook w:val="0000"/>
      </w:tblPr>
      <w:tblGrid>
        <w:gridCol w:w="612"/>
        <w:gridCol w:w="3819"/>
        <w:gridCol w:w="1072"/>
        <w:gridCol w:w="685"/>
        <w:gridCol w:w="1185"/>
        <w:gridCol w:w="1522"/>
      </w:tblGrid>
      <w:tr>
        <w:trPr>
          <w:trHeight w:val="397" w:hRule="atLeast"/>
        </w:trPr>
        <w:tc>
          <w:tcPr>
            <w:tcW w:w="8895" w:type="dxa"/>
            <w:gridSpan w:val="6"/>
            <w:tcBorders>
              <w:top w:val="single" w:sz="4" w:space="0" w:color="000000"/>
              <w:left w:val="single" w:sz="8" w:space="0" w:color="000000"/>
              <w:bottom w:val="single" w:sz="4" w:space="0" w:color="000000"/>
              <w:right w:val="single" w:sz="4" w:space="0" w:color="000000"/>
            </w:tcBorders>
            <w:shd w:color="auto" w:fill="DDDDDD" w:val="clear"/>
            <w:vAlign w:val="center"/>
          </w:tcPr>
          <w:p>
            <w:pPr>
              <w:pStyle w:val="Normal"/>
              <w:widowControl w:val="false"/>
              <w:ind w:left="340" w:hanging="0"/>
              <w:jc w:val="center"/>
              <w:rPr>
                <w:rFonts w:ascii="Arial" w:hAnsi="Arial" w:cs="Arial"/>
                <w:b/>
                <w:b/>
                <w:bCs/>
                <w:color w:val="000000"/>
                <w:sz w:val="18"/>
                <w:szCs w:val="18"/>
              </w:rPr>
            </w:pPr>
            <w:r>
              <w:rPr>
                <w:rFonts w:cs="Arial" w:ascii="Arial" w:hAnsi="Arial"/>
                <w:b/>
                <w:bCs/>
                <w:color w:val="000000"/>
                <w:sz w:val="18"/>
                <w:szCs w:val="18"/>
              </w:rPr>
              <w:t>LOTE (GRUPO)</w:t>
            </w:r>
          </w:p>
        </w:tc>
      </w:tr>
      <w:tr>
        <w:trPr>
          <w:trHeight w:val="397" w:hRule="atLeast"/>
        </w:trPr>
        <w:tc>
          <w:tcPr>
            <w:tcW w:w="612" w:type="dxa"/>
            <w:tcBorders>
              <w:top w:val="single" w:sz="8" w:space="0" w:color="000000"/>
              <w:left w:val="single" w:sz="8" w:space="0" w:color="000000"/>
              <w:bottom w:val="single" w:sz="8"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ITEM</w:t>
            </w:r>
          </w:p>
        </w:tc>
        <w:tc>
          <w:tcPr>
            <w:tcW w:w="3819" w:type="dxa"/>
            <w:tcBorders>
              <w:top w:val="single" w:sz="8" w:space="0" w:color="000000"/>
              <w:left w:val="single" w:sz="8" w:space="0" w:color="000000"/>
              <w:bottom w:val="single" w:sz="8"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ESPECIFICAÇÃO TÉCNICA</w:t>
            </w:r>
          </w:p>
        </w:tc>
        <w:tc>
          <w:tcPr>
            <w:tcW w:w="1072" w:type="dxa"/>
            <w:tcBorders>
              <w:top w:val="single" w:sz="8" w:space="0" w:color="000000"/>
              <w:left w:val="single" w:sz="8" w:space="0" w:color="000000"/>
              <w:bottom w:val="single" w:sz="8"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UNID. MEDIDA</w:t>
            </w:r>
          </w:p>
        </w:tc>
        <w:tc>
          <w:tcPr>
            <w:tcW w:w="685" w:type="dxa"/>
            <w:tcBorders>
              <w:top w:val="single" w:sz="8" w:space="0" w:color="000000"/>
              <w:left w:val="single" w:sz="8" w:space="0" w:color="000000"/>
              <w:bottom w:val="single" w:sz="8"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QTD.</w:t>
            </w:r>
          </w:p>
        </w:tc>
        <w:tc>
          <w:tcPr>
            <w:tcW w:w="1185" w:type="dxa"/>
            <w:tcBorders>
              <w:top w:val="single" w:sz="8" w:space="0" w:color="000000"/>
              <w:left w:val="single" w:sz="8" w:space="0" w:color="000000"/>
              <w:bottom w:val="single" w:sz="8"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VALOR UNITÁRIO (R$)</w:t>
            </w:r>
          </w:p>
        </w:tc>
        <w:tc>
          <w:tcPr>
            <w:tcW w:w="1522" w:type="dxa"/>
            <w:tcBorders>
              <w:top w:val="single" w:sz="8" w:space="0" w:color="000000"/>
              <w:left w:val="single" w:sz="8" w:space="0" w:color="000000"/>
              <w:bottom w:val="single" w:sz="8" w:space="0" w:color="000000"/>
              <w:right w:val="single" w:sz="8"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VALOR TOTAL (R$)</w:t>
            </w:r>
          </w:p>
        </w:tc>
      </w:tr>
      <w:tr>
        <w:trPr>
          <w:trHeight w:val="72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01</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DISPOSTIVO DE SEGURANÇA ILUMINADO 840MMX840MM, NECESSÁRIO PARA EQUIPAMENTO DE SINALIZAÇÃO DO TRANSITO.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12</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5.087,77</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r>
          </w:p>
          <w:p>
            <w:pPr>
              <w:pStyle w:val="Normal"/>
              <w:widowControl w:val="false"/>
              <w:jc w:val="center"/>
              <w:rPr>
                <w:rFonts w:ascii="Arial" w:hAnsi="Arial"/>
                <w:sz w:val="18"/>
                <w:szCs w:val="18"/>
              </w:rPr>
            </w:pPr>
            <w:r>
              <w:rPr>
                <w:rFonts w:ascii="Arial" w:hAnsi="Arial"/>
                <w:sz w:val="18"/>
                <w:szCs w:val="18"/>
              </w:rPr>
            </w:r>
          </w:p>
          <w:p>
            <w:pPr>
              <w:pStyle w:val="Normal"/>
              <w:widowControl w:val="false"/>
              <w:jc w:val="center"/>
              <w:rPr>
                <w:rFonts w:ascii="Arial" w:hAnsi="Arial"/>
                <w:sz w:val="18"/>
                <w:szCs w:val="18"/>
              </w:rPr>
            </w:pPr>
            <w:r>
              <w:rPr>
                <w:rFonts w:ascii="Arial" w:hAnsi="Arial"/>
                <w:sz w:val="18"/>
                <w:szCs w:val="18"/>
              </w:rPr>
              <w:t>61.053,24</w:t>
            </w:r>
          </w:p>
          <w:p>
            <w:pPr>
              <w:pStyle w:val="Normal"/>
              <w:widowControl w:val="false"/>
              <w:jc w:val="center"/>
              <w:rPr>
                <w:rFonts w:ascii="Arial" w:hAnsi="Arial"/>
                <w:sz w:val="18"/>
                <w:szCs w:val="18"/>
              </w:rPr>
            </w:pPr>
            <w:r>
              <w:rPr>
                <w:rFonts w:ascii="Arial" w:hAnsi="Arial"/>
                <w:sz w:val="18"/>
                <w:szCs w:val="18"/>
              </w:rPr>
            </w:r>
          </w:p>
        </w:tc>
      </w:tr>
      <w:tr>
        <w:trPr>
          <w:trHeight w:val="10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02</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MÓDULO DE COMANDO INTELIGENTE COM ALIMENTAÇÃO 110VE 220VAC PARA DISPOSITIVO DE SEGURANÇA ILUMINADO.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8</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2.354,26</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18.834,08</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03</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KIT DE LIGAÇÃO DE ENERGIA PADRÃO COPEL COM ATERRAMENTO.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8</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2.253,37</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18.026,96</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04</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MÓDULO DE COMANDO INTELIGENTE COM ALIMENTAÇÃO FOTOVOLTAICA OFF GRID PARA DISPOSITIVO DE SEGURANÇA ILUMINADO.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8</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7.179,23</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57.433,84</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05</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MÓDULO DE DETECÇÃO AUTOMÁTICA DE TRANSEUNTES.</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12</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5.458,16</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65.497,92</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06</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MÓDULO DE TELEMETRIA 3G/4G COM CHIP HABILITADO POR 12 MESES.</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12</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1.884,40</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22.612,80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07</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DISPOSITIVO DE SEGURANÇA PISCANTE MONO 1200MM X 600MM PARA ADVERTÊNCIA DE CONDUTORES E TRANSEUNTES.</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1.784,13</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35.682,60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08</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DISPOSITIVO DE SEGURANÇA PISCANTE DUPLO 2000MMX1000MM PARA ADVERTÊNCIA DE CONDUTORES E TRANSEUNTES.</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25</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4.487,04</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112.176,00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09</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MÓDULO DE COMANDO INTELIGENTE COM ALIMENTAÇÃO 110V E 220VAC PARA DISPOSITIVO DE SEGURANÇA PISCANTE DUPLO.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2.606,21</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26.062,10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10</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MÓDULO DE COMANDO INTELIGENTE COM ALIMENTAÇÃO FOTOVOLTAICA OFF GRID PARA DISPOSITIVO DE SEGURANÇA PISCANTE DUPLO.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2.853,03</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28.530,30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11</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COLUNA CÔNICA 4,5M.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2.228,48</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44.569,60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12</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COLUNA CÔNICA 6M.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40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4.089,75</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163.590,00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13</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BRAÇO CÔNICO 5M.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2.195,63</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43.912,60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14</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BRAÇO CÔNICO 6M - Os braços projetados deverão ser do tipo cônico, constituído em chapa de aço 1010/1020, espessura # 3,0 mm, com projeção de 5 metros ou 6 metros com 123 mm na base, flange para fixação do braço à coluna com 4 furos de diâmetro 1/2"" soldada em ângulo, com 76 mm no topo, garantindo desenvolvimento cônico constante da base até 3000 mm e tubo cilíndrico soldado para completar seu comprimento na parte horizontal, com capacidade de sustentação de 40 quilos (Kg) e 2 metros quadrados (M²) de área velica na extremidade oposta à coluna.</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2.879,79</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57.595,80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15</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CABO PP 2X4MM.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METRO</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1.000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17,88</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17.880,00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16</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CABO PP 3X1MM.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METRO</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300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12,59</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3.777,00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17</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CABO PP 2X1MM.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METRO</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300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7,07</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2.121,00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18</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DE DISPOSITIVO DE SEGURANÇA ILUMINADO 840MM X 840MM.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12</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935,23</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11.222,76</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19</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DE MÓDULO DE COMANDO INTELIGENTE COM ALIMENTAÇÃO 110V OU 220VAC PARA DISPOSITIVO DE SEGURANÇA ILUMINADO.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8</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756,38</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6.051,04</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20</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DE KIT DE LIGAÇÃO DE ENERGIA PADRÃO COPEL COM ATERRAMENTO.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8</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2.022,58</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16.180,64</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21</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MÓDULO DE COMANDO INTELIGENTE COM ALIMENTAÇÃO FOTOVOLTAICA OFF GRID PARA DISPOSITIVO DE SEGURANÇA PISCANTE DUPLO.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8</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1.919,27</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15.354,16</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22</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DE MÓDULO DE DETECÇÃO AUTOMÁTICA DE TRANSEUNTES.</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12</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1.373,08</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16.476,96</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23</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DE MÓDULO DE TELEMETRIA 3G/4G.</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12</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559,01</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6.708,12</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24</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DE DISPOSITIVO DE SEGURANÇA PISCANTE MONO 1200MM X 600MM PARA ADVERTÊNCIA DE CONDUTORES E TRANSEUNTES.</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578,32</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11.566,40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25</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DE DISPOSITIVO DE SEGURANÇA PISCANTE DUPLO 2000MMX1000MM PARA ADVERTÊNCIA DE CONDUTORES E TRANSEUNTES.</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25</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866,02</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21.650,50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26</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DE MÓDULO DE COMANDO INTELIGENTE COM ALIMENTAÇÃO 110V OU 220VAC PARA DISPOSITIVO DE SEGURANÇA ILUMINADO.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800,79</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8.007,90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27</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DE MÓDULO DE COMANDO INTELIGENTE COM ALIMENTAÇÃO FOTOVOLTAICA OFF GRID PARA DISPOSITIVO DE SEGURANÇA COM PISCANTE DUPLO.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881,56</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17.631,20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28</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COLUNA CÔNICA 4,5M.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856,31</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17.126,20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29</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COLUNA CÔNICA 6,0M.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40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4.834,40</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193.376,00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30</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BRAÇO CÔNICO 5M.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600,71</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12.014,20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31</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BRAÇO CÔNICO 6M.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5.031,84</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100.636,80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32</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CABO 2X4 MM.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1.000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7,69</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7.690,00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33</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CABO 3X1 MM.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300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7,36</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2.208,00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34</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CABO 2X1 MM.</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300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7,46</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2.238,00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35</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TRAVESSIA DE VALA SOBRE CALÇADA OU GRAMA.</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200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370,54</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74.108,00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36</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TRAVESSIA DE VALA SOBRE ASFALTO.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100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550,57</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55.057,00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37</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INSTALAÇÃO TRAVESSIA DE VALA SUBTERRÂNEA POR CRAVAÇÃO.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100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802,46</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80.246,00</w:t>
            </w:r>
          </w:p>
        </w:tc>
      </w:tr>
      <w:tr>
        <w:trPr>
          <w:trHeight w:val="447" w:hRule="atLeast"/>
        </w:trPr>
        <w:tc>
          <w:tcPr>
            <w:tcW w:w="61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38</w:t>
            </w:r>
          </w:p>
        </w:tc>
        <w:tc>
          <w:tcPr>
            <w:tcW w:w="3819"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both"/>
              <w:rPr>
                <w:rFonts w:ascii="Arial" w:hAnsi="Arial" w:cs="Arial"/>
                <w:color w:val="000000"/>
                <w:sz w:val="18"/>
                <w:szCs w:val="18"/>
              </w:rPr>
            </w:pPr>
            <w:r>
              <w:rPr>
                <w:rFonts w:cs="Arial" w:ascii="Arial" w:hAnsi="Arial"/>
                <w:color w:val="000000"/>
                <w:sz w:val="18"/>
                <w:szCs w:val="18"/>
              </w:rPr>
              <w:t>Projeto executivo do ponto a ser instalado, o dispositivo de segurança aos transeuntes, contendo dados fornecidos pela SEMUTTRAN, desde a implantação e estrutura de funcionamento.</w:t>
            </w:r>
          </w:p>
        </w:tc>
        <w:tc>
          <w:tcPr>
            <w:tcW w:w="1072"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Cs/>
                <w:color w:val="000000"/>
                <w:sz w:val="18"/>
                <w:szCs w:val="18"/>
              </w:rPr>
            </w:pPr>
            <w:r>
              <w:rPr>
                <w:rFonts w:cs="Arial" w:ascii="Arial" w:hAnsi="Arial"/>
                <w:bCs/>
                <w:color w:val="000000"/>
                <w:sz w:val="18"/>
                <w:szCs w:val="18"/>
              </w:rPr>
              <w:t>UNID.</w:t>
            </w:r>
          </w:p>
        </w:tc>
        <w:tc>
          <w:tcPr>
            <w:tcW w:w="685" w:type="dxa"/>
            <w:tcBorders>
              <w:left w:val="single" w:sz="8" w:space="0" w:color="000000"/>
              <w:bottom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20</w:t>
            </w:r>
          </w:p>
        </w:tc>
        <w:tc>
          <w:tcPr>
            <w:tcW w:w="1185" w:type="dxa"/>
            <w:tcBorders>
              <w:left w:val="single" w:sz="8" w:space="0" w:color="000000"/>
              <w:bottom w:val="single" w:sz="8" w:space="0" w:color="000000"/>
            </w:tcBorders>
            <w:shd w:color="auto" w:fill="FFFFFF" w:val="clear"/>
            <w:tcMar>
              <w:top w:w="55" w:type="dxa"/>
              <w:bottom w:w="55" w:type="dxa"/>
            </w:tcMar>
            <w:vAlign w:val="center"/>
          </w:tcPr>
          <w:p>
            <w:pPr>
              <w:pStyle w:val="Contedodatabela"/>
              <w:widowControl w:val="false"/>
              <w:jc w:val="center"/>
              <w:rPr>
                <w:rFonts w:ascii="Arial" w:hAnsi="Arial" w:cs="Arial"/>
                <w:color w:val="000000"/>
                <w:sz w:val="18"/>
                <w:szCs w:val="18"/>
              </w:rPr>
            </w:pPr>
            <w:r>
              <w:rPr>
                <w:rFonts w:cs="Arial" w:ascii="Arial" w:hAnsi="Arial"/>
                <w:color w:val="000000"/>
                <w:sz w:val="18"/>
                <w:szCs w:val="18"/>
              </w:rPr>
              <w:t>1.610,09</w:t>
            </w:r>
          </w:p>
        </w:tc>
        <w:tc>
          <w:tcPr>
            <w:tcW w:w="1522" w:type="dxa"/>
            <w:tcBorders>
              <w:left w:val="single" w:sz="8" w:space="0" w:color="000000"/>
              <w:bottom w:val="single" w:sz="8"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sz w:val="18"/>
                <w:szCs w:val="18"/>
              </w:rPr>
            </w:pPr>
            <w:r>
              <w:rPr>
                <w:rFonts w:ascii="Arial" w:hAnsi="Arial"/>
                <w:sz w:val="18"/>
                <w:szCs w:val="18"/>
              </w:rPr>
              <w:t>32.201,80</w:t>
            </w:r>
          </w:p>
        </w:tc>
      </w:tr>
      <w:tr>
        <w:trPr>
          <w:trHeight w:val="447" w:hRule="atLeast"/>
        </w:trPr>
        <w:tc>
          <w:tcPr>
            <w:tcW w:w="8895" w:type="dxa"/>
            <w:gridSpan w:val="6"/>
            <w:tcBorders>
              <w:left w:val="single" w:sz="8" w:space="0" w:color="000000"/>
              <w:bottom w:val="single" w:sz="8" w:space="0" w:color="000000"/>
              <w:right w:val="single" w:sz="8" w:space="0" w:color="000000"/>
            </w:tcBorders>
            <w:shd w:color="auto" w:fill="DDDDDD" w:val="clear"/>
            <w:tcMar>
              <w:top w:w="55" w:type="dxa"/>
              <w:bottom w:w="55" w:type="dxa"/>
            </w:tcMar>
            <w:vAlign w:val="center"/>
          </w:tcPr>
          <w:p>
            <w:pPr>
              <w:pStyle w:val="Normal"/>
              <w:widowControl w:val="false"/>
              <w:jc w:val="both"/>
              <w:rPr>
                <w:rFonts w:ascii="Arial" w:hAnsi="Arial"/>
                <w:b/>
                <w:b/>
                <w:bCs/>
                <w:sz w:val="18"/>
                <w:szCs w:val="18"/>
              </w:rPr>
            </w:pPr>
            <w:r>
              <w:rPr>
                <w:rFonts w:cs="Arial" w:ascii="Arial" w:hAnsi="Arial"/>
                <w:b/>
                <w:bCs/>
                <w:color w:val="000000"/>
                <w:sz w:val="18"/>
                <w:szCs w:val="18"/>
              </w:rPr>
              <w:t xml:space="preserve">VALOR TOTAL DA LICITAÇÃO: R$ </w:t>
            </w:r>
            <w:r>
              <w:rPr>
                <w:rFonts w:ascii="Arial" w:hAnsi="Arial"/>
                <w:b/>
                <w:bCs/>
                <w:sz w:val="18"/>
                <w:szCs w:val="18"/>
              </w:rPr>
              <w:t>1.487.107,52  (um milhão, quatrocentos e oitenta e sete mil, cento e sete reais e cinquenta e dois centavos).</w:t>
            </w:r>
          </w:p>
        </w:tc>
      </w:tr>
    </w:tbl>
    <w:p>
      <w:pPr>
        <w:pStyle w:val="Nivel3"/>
        <w:tabs>
          <w:tab w:val="clear" w:pos="0"/>
        </w:tabs>
        <w:ind w:left="2629" w:hanging="0"/>
        <w:jc w:val="center"/>
        <w:rPr/>
      </w:pPr>
      <w:r>
        <w:rPr/>
      </w:r>
    </w:p>
    <w:p>
      <w:pPr>
        <w:pStyle w:val="Nivel3"/>
        <w:tabs>
          <w:tab w:val="clear" w:pos="0"/>
        </w:tabs>
        <w:ind w:left="2629" w:hanging="0"/>
        <w:jc w:val="center"/>
        <w:rPr/>
      </w:pPr>
      <w:r>
        <w:rPr/>
      </w:r>
    </w:p>
    <w:p>
      <w:pPr>
        <w:pStyle w:val="Nivel3"/>
        <w:tabs>
          <w:tab w:val="clear" w:pos="0"/>
        </w:tabs>
        <w:ind w:hanging="0"/>
        <w:rPr>
          <w:rFonts w:ascii="Arial" w:hAnsi="Arial"/>
        </w:rPr>
      </w:pPr>
      <w:r>
        <w:rPr>
          <w:rFonts w:cs="Arial-BoldMT"/>
          <w:b/>
          <w:bCs/>
          <w:sz w:val="21"/>
          <w:szCs w:val="21"/>
          <w:lang w:eastAsia="en-US"/>
        </w:rPr>
        <w:t xml:space="preserve">Obs.: </w:t>
      </w:r>
      <w:r>
        <w:rPr>
          <w:rFonts w:cs="Arial-BoldMT"/>
          <w:b/>
          <w:bCs/>
          <w:color w:val="000000"/>
          <w:sz w:val="21"/>
          <w:szCs w:val="21"/>
          <w:lang w:eastAsia="en-US"/>
        </w:rPr>
        <w:t>As Especificações Técnicas detalhadas</w:t>
      </w:r>
      <w:r>
        <w:rPr>
          <w:rFonts w:cs="Arial-BoldMT"/>
          <w:b/>
          <w:bCs/>
          <w:sz w:val="21"/>
          <w:szCs w:val="21"/>
          <w:lang w:eastAsia="en-US"/>
        </w:rPr>
        <w:t xml:space="preserve"> constam no Termo de Referência anexo ao Edital.</w:t>
      </w:r>
      <w:r>
        <w:br w:type="page"/>
      </w:r>
    </w:p>
    <w:p>
      <w:pPr>
        <w:pStyle w:val="Normal"/>
        <w:tabs>
          <w:tab w:val="clear" w:pos="708"/>
        </w:tabs>
        <w:ind w:hanging="0"/>
        <w:jc w:val="center"/>
        <w:rPr>
          <w:rFonts w:ascii="Arial" w:hAnsi="Arial"/>
          <w:color w:val="000000"/>
        </w:rPr>
      </w:pPr>
      <w:r>
        <w:rPr>
          <w:rFonts w:ascii="Arial" w:hAnsi="Arial"/>
          <w:b/>
          <w:color w:val="000000"/>
          <w:sz w:val="21"/>
          <w:szCs w:val="21"/>
        </w:rPr>
        <w:t xml:space="preserve">ANEXO III </w:t>
      </w:r>
    </w:p>
    <w:p>
      <w:pPr>
        <w:pStyle w:val="Nivel3"/>
        <w:tabs>
          <w:tab w:val="clear" w:pos="0"/>
        </w:tabs>
        <w:ind w:left="1638" w:hanging="929"/>
        <w:jc w:val="center"/>
        <w:rPr>
          <w:color w:val="000000"/>
        </w:rPr>
      </w:pPr>
      <w:r>
        <w:rPr>
          <w:b/>
          <w:color w:val="000000"/>
          <w:sz w:val="21"/>
          <w:szCs w:val="21"/>
        </w:rPr>
        <w:t>MODELO DA CARTA PROPOSTA</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À</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PREFEITURA MUNICIPAL DE SÃO JOSÉ DOS PINHAIS</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r>
    </w:p>
    <w:p>
      <w:pPr>
        <w:pStyle w:val="Normal"/>
        <w:widowControl w:val="false"/>
        <w:suppressLineNumbers/>
        <w:spacing w:lineRule="auto" w:line="276"/>
        <w:jc w:val="center"/>
        <w:rPr/>
      </w:pPr>
      <w:r>
        <w:rPr>
          <w:rFonts w:eastAsia="Times New Roman" w:cs="Arial" w:ascii="Arial" w:hAnsi="Arial"/>
          <w:b/>
          <w:sz w:val="21"/>
          <w:szCs w:val="21"/>
          <w:u w:val="single"/>
        </w:rPr>
        <w:t>PREGÃO ELETRÔNICO N.º 093/2024</w:t>
      </w:r>
      <w:r>
        <w:rPr>
          <w:rFonts w:eastAsia="Times New Roman" w:cs="Arial" w:ascii="Arial" w:hAnsi="Arial"/>
          <w:b/>
          <w:color w:val="000000"/>
          <w:sz w:val="21"/>
          <w:szCs w:val="21"/>
          <w:u w:val="single"/>
        </w:rPr>
        <w:t xml:space="preserve"> - </w:t>
      </w:r>
      <w:r>
        <w:rPr>
          <w:rFonts w:eastAsia="Times New Roman" w:cs="Arial" w:ascii="Arial" w:hAnsi="Arial"/>
          <w:b/>
          <w:sz w:val="21"/>
          <w:szCs w:val="21"/>
          <w:u w:val="single"/>
        </w:rPr>
        <w:t>SERMALI.</w:t>
      </w:r>
    </w:p>
    <w:p>
      <w:pPr>
        <w:pStyle w:val="Normal"/>
        <w:widowControl w:val="false"/>
        <w:suppressLineNumbers/>
        <w:spacing w:lineRule="auto" w:line="276"/>
        <w:jc w:val="center"/>
        <w:rPr>
          <w:rFonts w:ascii="Arial" w:hAnsi="Arial" w:eastAsia="Times New Roman" w:cs="Arial"/>
          <w:b/>
          <w:b/>
          <w:sz w:val="21"/>
          <w:szCs w:val="21"/>
          <w:u w:val="single"/>
        </w:rPr>
      </w:pPr>
      <w:r>
        <w:rPr>
          <w:rFonts w:eastAsia="Times New Roman" w:cs="Arial" w:ascii="Arial" w:hAnsi="Arial"/>
          <w:b/>
          <w:sz w:val="21"/>
          <w:szCs w:val="21"/>
          <w:u w:val="single"/>
        </w:rPr>
      </w:r>
    </w:p>
    <w:p>
      <w:pPr>
        <w:pStyle w:val="Normal"/>
        <w:widowControl w:val="false"/>
        <w:suppressLineNumbers/>
        <w:tabs>
          <w:tab w:val="clear" w:pos="708"/>
          <w:tab w:val="left" w:pos="2268" w:leader="none"/>
        </w:tabs>
        <w:spacing w:lineRule="auto" w:line="276"/>
        <w:jc w:val="both"/>
        <w:rPr>
          <w:rFonts w:ascii="Arial" w:hAnsi="Arial" w:eastAsia="Times New Roman" w:cs="Arial"/>
          <w:sz w:val="21"/>
          <w:szCs w:val="21"/>
        </w:rPr>
      </w:pPr>
      <w:r>
        <w:rPr>
          <w:rFonts w:eastAsia="Times New Roman" w:cs="Arial" w:ascii="Arial" w:hAnsi="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96" w:type="dxa"/>
        <w:jc w:val="left"/>
        <w:tblInd w:w="-80" w:type="dxa"/>
        <w:tblLayout w:type="fixed"/>
        <w:tblCellMar>
          <w:top w:w="0" w:type="dxa"/>
          <w:left w:w="70" w:type="dxa"/>
          <w:bottom w:w="0" w:type="dxa"/>
          <w:right w:w="70" w:type="dxa"/>
        </w:tblCellMar>
        <w:tblLook w:val="0000"/>
      </w:tblPr>
      <w:tblGrid>
        <w:gridCol w:w="612"/>
        <w:gridCol w:w="3819"/>
        <w:gridCol w:w="1072"/>
        <w:gridCol w:w="685"/>
        <w:gridCol w:w="1185"/>
        <w:gridCol w:w="1522"/>
      </w:tblGrid>
      <w:tr>
        <w:trPr>
          <w:trHeight w:val="397" w:hRule="atLeast"/>
        </w:trPr>
        <w:tc>
          <w:tcPr>
            <w:tcW w:w="8895" w:type="dxa"/>
            <w:gridSpan w:val="6"/>
            <w:tcBorders>
              <w:top w:val="single" w:sz="4" w:space="0" w:color="000000"/>
              <w:left w:val="single" w:sz="8" w:space="0" w:color="000000"/>
              <w:bottom w:val="single" w:sz="4" w:space="0" w:color="000000"/>
              <w:right w:val="single" w:sz="4" w:space="0" w:color="000000"/>
            </w:tcBorders>
            <w:shd w:color="auto" w:fill="DDDDDD" w:val="clear"/>
            <w:vAlign w:val="center"/>
          </w:tcPr>
          <w:p>
            <w:pPr>
              <w:pStyle w:val="Normal"/>
              <w:widowControl w:val="false"/>
              <w:ind w:left="340" w:hanging="0"/>
              <w:jc w:val="center"/>
              <w:rPr>
                <w:rFonts w:ascii="Arial" w:hAnsi="Arial" w:cs="Arial"/>
                <w:b/>
                <w:b/>
                <w:bCs/>
                <w:color w:val="000000"/>
                <w:sz w:val="18"/>
                <w:szCs w:val="18"/>
              </w:rPr>
            </w:pPr>
            <w:r>
              <w:rPr>
                <w:rFonts w:cs="Arial" w:ascii="Arial" w:hAnsi="Arial"/>
                <w:b/>
                <w:bCs/>
                <w:color w:val="000000"/>
                <w:sz w:val="18"/>
                <w:szCs w:val="18"/>
              </w:rPr>
              <w:t>LOTE (GRUPO)</w:t>
            </w:r>
          </w:p>
        </w:tc>
      </w:tr>
      <w:tr>
        <w:trPr>
          <w:trHeight w:val="566" w:hRule="atLeast"/>
        </w:trPr>
        <w:tc>
          <w:tcPr>
            <w:tcW w:w="612" w:type="dxa"/>
            <w:tcBorders>
              <w:top w:val="single" w:sz="8" w:space="0" w:color="000000"/>
              <w:left w:val="single" w:sz="8" w:space="0" w:color="000000"/>
              <w:bottom w:val="single" w:sz="4"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ITEM</w:t>
            </w:r>
          </w:p>
        </w:tc>
        <w:tc>
          <w:tcPr>
            <w:tcW w:w="3819" w:type="dxa"/>
            <w:tcBorders>
              <w:top w:val="single" w:sz="8" w:space="0" w:color="000000"/>
              <w:left w:val="single" w:sz="8" w:space="0" w:color="000000"/>
              <w:bottom w:val="single" w:sz="4"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ESPECIFICAÇÃO TÉCNICA</w:t>
            </w:r>
          </w:p>
        </w:tc>
        <w:tc>
          <w:tcPr>
            <w:tcW w:w="1072" w:type="dxa"/>
            <w:tcBorders>
              <w:top w:val="single" w:sz="8" w:space="0" w:color="000000"/>
              <w:left w:val="single" w:sz="8" w:space="0" w:color="000000"/>
              <w:bottom w:val="single" w:sz="4"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UNID. MEDIDA</w:t>
            </w:r>
          </w:p>
        </w:tc>
        <w:tc>
          <w:tcPr>
            <w:tcW w:w="685" w:type="dxa"/>
            <w:tcBorders>
              <w:top w:val="single" w:sz="8" w:space="0" w:color="000000"/>
              <w:left w:val="single" w:sz="8" w:space="0" w:color="000000"/>
              <w:bottom w:val="single" w:sz="4"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QTD.</w:t>
            </w:r>
          </w:p>
        </w:tc>
        <w:tc>
          <w:tcPr>
            <w:tcW w:w="1185" w:type="dxa"/>
            <w:tcBorders>
              <w:top w:val="single" w:sz="8" w:space="0" w:color="000000"/>
              <w:left w:val="single" w:sz="8" w:space="0" w:color="000000"/>
              <w:bottom w:val="single" w:sz="4"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VALOR UNITÁRIO (R$)</w:t>
            </w:r>
          </w:p>
        </w:tc>
        <w:tc>
          <w:tcPr>
            <w:tcW w:w="1522" w:type="dxa"/>
            <w:tcBorders>
              <w:top w:val="single" w:sz="8" w:space="0" w:color="000000"/>
              <w:left w:val="single" w:sz="8" w:space="0" w:color="000000"/>
              <w:bottom w:val="single" w:sz="4" w:space="0" w:color="000000"/>
              <w:right w:val="single" w:sz="8"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VALOR TOTAL (R$)</w:t>
            </w:r>
          </w:p>
        </w:tc>
      </w:tr>
      <w:tr>
        <w:trPr>
          <w:trHeight w:val="274" w:hRule="atLeast"/>
        </w:trPr>
        <w:tc>
          <w:tcPr>
            <w:tcW w:w="612" w:type="dxa"/>
            <w:tcBorders>
              <w:left w:val="single" w:sz="8" w:space="0" w:color="000000"/>
              <w:bottom w:val="single" w:sz="4" w:space="0" w:color="000000"/>
            </w:tcBorders>
            <w:shd w:color="auto" w:fill="FFFFFF" w:val="clear"/>
            <w:tcMar>
              <w:top w:w="55" w:type="dxa"/>
              <w:bottom w:w="55" w:type="dxa"/>
            </w:tcMar>
            <w:vAlign w:val="center"/>
          </w:tcPr>
          <w:p>
            <w:pPr>
              <w:pStyle w:val="Normal"/>
              <w:widowControl w:val="false"/>
              <w:jc w:val="center"/>
              <w:rPr>
                <w:rFonts w:ascii="Arial" w:hAnsi="Arial" w:cs="Arial"/>
                <w:b/>
                <w:b/>
                <w:bCs/>
                <w:color w:val="000000"/>
                <w:sz w:val="12"/>
                <w:szCs w:val="12"/>
              </w:rPr>
            </w:pPr>
            <w:r>
              <w:rPr>
                <w:rFonts w:cs="Arial" w:ascii="Arial" w:hAnsi="Arial"/>
                <w:b/>
                <w:bCs/>
                <w:color w:val="000000"/>
                <w:sz w:val="12"/>
                <w:szCs w:val="12"/>
              </w:rPr>
            </w:r>
          </w:p>
        </w:tc>
        <w:tc>
          <w:tcPr>
            <w:tcW w:w="3819" w:type="dxa"/>
            <w:tcBorders>
              <w:left w:val="single" w:sz="8" w:space="0" w:color="000000"/>
              <w:bottom w:val="single" w:sz="4" w:space="0" w:color="000000"/>
            </w:tcBorders>
            <w:shd w:color="auto" w:fill="FFFFFF"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r>
          </w:p>
        </w:tc>
        <w:tc>
          <w:tcPr>
            <w:tcW w:w="1072" w:type="dxa"/>
            <w:tcBorders>
              <w:left w:val="single" w:sz="8" w:space="0" w:color="000000"/>
              <w:bottom w:val="single" w:sz="4" w:space="0" w:color="000000"/>
            </w:tcBorders>
            <w:shd w:color="auto" w:fill="FFFFFF"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r>
          </w:p>
        </w:tc>
        <w:tc>
          <w:tcPr>
            <w:tcW w:w="685" w:type="dxa"/>
            <w:tcBorders>
              <w:left w:val="single" w:sz="8" w:space="0" w:color="000000"/>
              <w:bottom w:val="single" w:sz="4" w:space="0" w:color="000000"/>
            </w:tcBorders>
            <w:shd w:color="auto" w:fill="FFFFFF"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r>
          </w:p>
        </w:tc>
        <w:tc>
          <w:tcPr>
            <w:tcW w:w="1185" w:type="dxa"/>
            <w:tcBorders>
              <w:left w:val="single" w:sz="8" w:space="0" w:color="000000"/>
              <w:bottom w:val="single" w:sz="4" w:space="0" w:color="000000"/>
            </w:tcBorders>
            <w:shd w:color="auto" w:fill="FFFFFF"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r>
          </w:p>
        </w:tc>
        <w:tc>
          <w:tcPr>
            <w:tcW w:w="1522" w:type="dxa"/>
            <w:tcBorders>
              <w:left w:val="single" w:sz="8" w:space="0" w:color="000000"/>
              <w:bottom w:val="single" w:sz="4"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r>
          </w:p>
        </w:tc>
      </w:tr>
      <w:tr>
        <w:trPr>
          <w:trHeight w:val="274" w:hRule="atLeast"/>
        </w:trPr>
        <w:tc>
          <w:tcPr>
            <w:tcW w:w="8895" w:type="dxa"/>
            <w:gridSpan w:val="6"/>
            <w:tcBorders>
              <w:left w:val="single" w:sz="8" w:space="0" w:color="000000"/>
              <w:bottom w:val="single" w:sz="8" w:space="0" w:color="000000"/>
              <w:right w:val="single" w:sz="8" w:space="0" w:color="000000"/>
            </w:tcBorders>
            <w:shd w:color="auto" w:fill="DDDDDD" w:val="clear"/>
            <w:tcMar>
              <w:top w:w="55" w:type="dxa"/>
              <w:bottom w:w="55" w:type="dxa"/>
            </w:tcMar>
            <w:vAlign w:val="center"/>
          </w:tcPr>
          <w:p>
            <w:pPr>
              <w:pStyle w:val="Normal"/>
              <w:widowControl w:val="false"/>
              <w:suppressLineNumbers/>
              <w:spacing w:lineRule="auto" w:line="276"/>
              <w:jc w:val="both"/>
              <w:rPr>
                <w:rFonts w:ascii="Arial" w:hAnsi="Arial" w:eastAsia="Times New Roman" w:cs="Arial"/>
                <w:b/>
                <w:b/>
                <w:bCs/>
                <w:color w:val="000000"/>
                <w:sz w:val="18"/>
                <w:szCs w:val="18"/>
              </w:rPr>
            </w:pPr>
            <w:r>
              <w:rPr>
                <w:rFonts w:eastAsia="Times New Roman" w:cs="Arial" w:ascii="Arial" w:hAnsi="Arial"/>
                <w:b/>
                <w:bCs/>
                <w:color w:val="000000"/>
                <w:sz w:val="18"/>
                <w:szCs w:val="18"/>
              </w:rPr>
              <w:t>VALOR TOTAL DA PROPOSTA: R$ ---- (em algarismos e por extenso)</w:t>
            </w:r>
          </w:p>
        </w:tc>
      </w:tr>
    </w:tbl>
    <w:p>
      <w:pPr>
        <w:pStyle w:val="Normal"/>
        <w:widowControl w:val="false"/>
        <w:suppressLineNumbers/>
        <w:tabs>
          <w:tab w:val="clear" w:pos="708"/>
          <w:tab w:val="left" w:pos="2268" w:leader="none"/>
        </w:tabs>
        <w:spacing w:lineRule="auto" w:line="276"/>
        <w:jc w:val="both"/>
        <w:rPr>
          <w:rFonts w:ascii="Arial" w:hAnsi="Arial" w:eastAsia="Times New Roman" w:cs="Arial"/>
          <w:sz w:val="21"/>
          <w:szCs w:val="21"/>
        </w:rPr>
      </w:pPr>
      <w:r>
        <w:rPr>
          <w:rFonts w:eastAsia="Times New Roman" w:cs="Arial" w:ascii="Arial" w:hAnsi="Arial"/>
          <w:sz w:val="21"/>
          <w:szCs w:val="21"/>
        </w:rPr>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Declaramos que concordamos integralmente com as condições estipuladas na presente licitação e se vencedor deste certame, nos submeteremos ao cumprimento de seus termos.</w:t>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Declaramos ainda que nossa empresa não foi declarada inidônea nem encontra-se suspensa ou impedida de licitar e contratar com a Administração Pública.</w:t>
      </w:r>
    </w:p>
    <w:p>
      <w:pPr>
        <w:pStyle w:val="Normal"/>
        <w:widowControl w:val="false"/>
        <w:numPr>
          <w:ilvl w:val="0"/>
          <w:numId w:val="6"/>
        </w:numPr>
        <w:suppressLineNumbers/>
        <w:tabs>
          <w:tab w:val="clear" w:pos="708"/>
          <w:tab w:val="left" w:pos="142" w:leader="none"/>
          <w:tab w:val="left" w:pos="284"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pPr>
        <w:pStyle w:val="Normal"/>
        <w:widowControl w:val="false"/>
        <w:suppressLineNumbers/>
        <w:spacing w:lineRule="auto" w:line="276"/>
        <w:ind w:left="284" w:hanging="0"/>
        <w:jc w:val="both"/>
        <w:rPr>
          <w:rFonts w:ascii="Arial" w:hAnsi="Arial" w:eastAsia="Times New Roman" w:cs="Arial"/>
          <w:sz w:val="21"/>
          <w:szCs w:val="21"/>
        </w:rPr>
      </w:pPr>
      <w:r>
        <w:rPr>
          <w:rFonts w:eastAsia="Times New Roman" w:cs="Arial" w:ascii="Arial" w:hAnsi="Arial"/>
          <w:sz w:val="21"/>
          <w:szCs w:val="21"/>
        </w:rPr>
        <w:t xml:space="preserve">c.1) Essa declaração possui validade enquanto perdurar o prazo de vigência/execução do Instrumento Contratual em tela. </w:t>
      </w:r>
    </w:p>
    <w:p>
      <w:pPr>
        <w:pStyle w:val="Normal"/>
        <w:widowControl w:val="false"/>
        <w:suppressLineNumbers/>
        <w:spacing w:lineRule="auto" w:line="276"/>
        <w:ind w:left="284" w:hanging="0"/>
        <w:jc w:val="both"/>
        <w:rPr>
          <w:rFonts w:ascii="Arial" w:hAnsi="Arial" w:eastAsia="Times New Roman" w:cs="Arial"/>
          <w:sz w:val="21"/>
          <w:szCs w:val="21"/>
        </w:rPr>
      </w:pPr>
      <w:r>
        <w:rPr>
          <w:rFonts w:eastAsia="Times New Roman" w:cs="Arial" w:ascii="Arial" w:hAnsi="Arial"/>
          <w:sz w:val="21"/>
          <w:szCs w:val="21"/>
        </w:rPr>
        <w:t>c.2) Estou ciente de que qualquer alteração nas condições aqui declaradas obrigam a imediata comunicação à Administração, sob pena de aplicação das sanções cabíveis.</w:t>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Se vencedora, na qualidade de representante legal, assinará a Ata de Registro de Preços, o Sr(a). ____________________, portador(a) da carteira de identidade RG nº _______________ e CPF/MF nº ________________.</w:t>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A validade da proposta é de 90 (noventa) dias corridos, contados da data de recebimento das propostas, conforme estipulado no presente edital.</w:t>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Para contato informamos:</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Responsável/Representante Legal (nome completo): _________________________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Telefone Fixo n.º: (__) 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Telefone Celular nº: (__) __________________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 xml:space="preserve">E-mail: _____________________________________     </w:t>
      </w:r>
    </w:p>
    <w:p>
      <w:pPr>
        <w:pStyle w:val="Normal"/>
        <w:widowControl w:val="false"/>
        <w:suppressLineNumbers/>
        <w:spacing w:lineRule="auto" w:line="276"/>
        <w:jc w:val="right"/>
        <w:rPr>
          <w:rFonts w:ascii="Arial" w:hAnsi="Arial" w:eastAsia="Times New Roman" w:cs="Arial"/>
          <w:sz w:val="21"/>
          <w:szCs w:val="21"/>
        </w:rPr>
      </w:pPr>
      <w:r>
        <w:rPr>
          <w:rFonts w:eastAsia="Times New Roman" w:cs="Arial" w:ascii="Arial" w:hAnsi="Arial"/>
          <w:sz w:val="21"/>
          <w:szCs w:val="21"/>
        </w:rPr>
        <w:t xml:space="preserve">Local / data </w:t>
      </w:r>
    </w:p>
    <w:p>
      <w:pPr>
        <w:pStyle w:val="Normal"/>
        <w:widowControl w:val="false"/>
        <w:suppressLineNumbers/>
        <w:spacing w:lineRule="auto" w:line="276"/>
        <w:jc w:val="center"/>
        <w:rPr>
          <w:rFonts w:ascii="Arial" w:hAnsi="Arial" w:eastAsia="Times New Roman" w:cs="Arial"/>
          <w:sz w:val="21"/>
          <w:szCs w:val="21"/>
        </w:rPr>
      </w:pPr>
      <w:r>
        <w:rPr>
          <w:rFonts w:eastAsia="Times New Roman" w:cs="Arial" w:ascii="Arial" w:hAnsi="Arial"/>
          <w:sz w:val="21"/>
          <w:szCs w:val="21"/>
        </w:rPr>
        <w:t>_________________________________</w:t>
      </w:r>
    </w:p>
    <w:p>
      <w:pPr>
        <w:pStyle w:val="Normal"/>
        <w:rPr>
          <w:rFonts w:ascii="Arial" w:hAnsi="Arial" w:eastAsia="Times New Roman" w:cs="Arial"/>
          <w:sz w:val="21"/>
          <w:szCs w:val="21"/>
        </w:rPr>
      </w:pPr>
      <w:r>
        <w:rPr>
          <w:rFonts w:eastAsia="Times New Roman" w:cs="Arial" w:ascii="Arial" w:hAnsi="Arial"/>
          <w:sz w:val="21"/>
          <w:szCs w:val="21"/>
        </w:rPr>
        <w:t xml:space="preserve">Nome, RG e assinatura do Responsável ou Representante Legal                                                     </w:t>
      </w:r>
      <w:r>
        <w:br w:type="page"/>
      </w:r>
    </w:p>
    <w:p>
      <w:pPr>
        <w:pStyle w:val="Nivel3"/>
        <w:tabs>
          <w:tab w:val="clear" w:pos="0"/>
        </w:tabs>
        <w:ind w:left="709" w:hanging="0"/>
        <w:jc w:val="center"/>
        <w:rPr>
          <w:b/>
          <w:b/>
          <w:bCs/>
          <w:color w:val="000000"/>
          <w:sz w:val="21"/>
          <w:szCs w:val="21"/>
        </w:rPr>
      </w:pPr>
      <w:r>
        <w:rPr>
          <w:b/>
          <w:bCs/>
          <w:color w:val="000000"/>
          <w:sz w:val="21"/>
          <w:szCs w:val="21"/>
        </w:rPr>
        <w:t xml:space="preserve">ANEXO IV </w:t>
      </w:r>
    </w:p>
    <w:p>
      <w:pPr>
        <w:pStyle w:val="Nivel3"/>
        <w:tabs>
          <w:tab w:val="clear" w:pos="0"/>
        </w:tabs>
        <w:ind w:left="709" w:hanging="0"/>
        <w:jc w:val="center"/>
        <w:rPr>
          <w:b/>
          <w:b/>
          <w:bCs/>
          <w:sz w:val="21"/>
          <w:szCs w:val="21"/>
        </w:rPr>
      </w:pPr>
      <w:r>
        <w:rPr>
          <w:b/>
          <w:bCs/>
          <w:sz w:val="21"/>
          <w:szCs w:val="21"/>
        </w:rPr>
      </w:r>
    </w:p>
    <w:p>
      <w:pPr>
        <w:pStyle w:val="Normal"/>
        <w:widowControl w:val="false"/>
        <w:suppressLineNumbers/>
        <w:tabs>
          <w:tab w:val="clear" w:pos="708"/>
          <w:tab w:val="left" w:pos="0" w:leader="none"/>
        </w:tabs>
        <w:spacing w:lineRule="auto" w:line="276"/>
        <w:jc w:val="center"/>
        <w:rPr/>
      </w:pPr>
      <w:r>
        <w:rPr>
          <w:rFonts w:cs="Arial" w:ascii="Arial" w:hAnsi="Arial"/>
          <w:b/>
          <w:bCs/>
          <w:color w:val="000000"/>
          <w:sz w:val="21"/>
          <w:szCs w:val="21"/>
        </w:rPr>
        <w:t>ATA DE REGISTRO DE PREÇOS N.° ____/202__-SERMALI</w:t>
        <w:br/>
      </w:r>
      <w:r>
        <w:rPr>
          <w:rFonts w:cs="Arial" w:ascii="Arial" w:hAnsi="Arial"/>
          <w:b/>
          <w:bCs/>
          <w:color w:val="C9211E"/>
          <w:sz w:val="21"/>
          <w:szCs w:val="21"/>
        </w:rPr>
        <w:t>(MINUTA)</w:t>
      </w:r>
    </w:p>
    <w:p>
      <w:pPr>
        <w:pStyle w:val="BodyText2"/>
        <w:widowControl w:val="false"/>
        <w:suppressLineNumbers/>
        <w:tabs>
          <w:tab w:val="clear" w:pos="708"/>
          <w:tab w:val="left" w:pos="0" w:leader="none"/>
          <w:tab w:val="left" w:pos="284" w:leader="none"/>
        </w:tabs>
        <w:spacing w:lineRule="auto" w:line="276" w:before="0" w:after="0"/>
        <w:jc w:val="both"/>
        <w:rPr>
          <w:rFonts w:cs="Arial"/>
          <w:b/>
          <w:b/>
          <w:sz w:val="21"/>
          <w:szCs w:val="21"/>
        </w:rPr>
      </w:pPr>
      <w:r>
        <w:rPr>
          <w:rFonts w:cs="Arial"/>
          <w:b/>
          <w:sz w:val="21"/>
          <w:szCs w:val="21"/>
        </w:rPr>
        <w:t>ATA DE REGISTRO DE PREÇOS ENTRE A PREFEITURA MUNICIPAL DE SÃO JOSÉ DOS PINHAIS E A EMPRESA ------------------</w:t>
      </w:r>
    </w:p>
    <w:p>
      <w:pPr>
        <w:pStyle w:val="Normal"/>
        <w:tabs>
          <w:tab w:val="clear" w:pos="708"/>
          <w:tab w:val="left" w:pos="0" w:leader="none"/>
          <w:tab w:val="left" w:pos="284" w:leader="none"/>
        </w:tabs>
        <w:spacing w:lineRule="auto" w:line="312" w:before="120" w:after="288"/>
        <w:jc w:val="both"/>
        <w:rPr/>
      </w:pPr>
      <w:r>
        <w:rPr>
          <w:rFonts w:eastAsia="Arial" w:cs="Arial" w:ascii="Arial" w:hAnsi="Arial"/>
          <w:sz w:val="21"/>
          <w:szCs w:val="21"/>
        </w:rPr>
        <w:t xml:space="preserve">O </w:t>
      </w:r>
      <w:r>
        <w:rPr>
          <w:rFonts w:eastAsia="Arial" w:cs="Arial" w:ascii="Arial" w:hAnsi="Arial"/>
          <w:b/>
          <w:sz w:val="21"/>
          <w:szCs w:val="21"/>
        </w:rPr>
        <w:t>Município de São José dos Pinhais</w:t>
      </w:r>
      <w:r>
        <w:rPr>
          <w:rFonts w:eastAsia="Arial" w:cs="Arial" w:ascii="Arial" w:hAnsi="Arial"/>
          <w:sz w:val="21"/>
          <w:szCs w:val="21"/>
        </w:rPr>
        <w:t>, pessoa jurídica de direito público interno, com sede na Rua Passos de Oliveira, n. º 1101, Bairro Centro, CEP 83.030-720 e inscrito(a) CNPJ sob n.º 76.105.543/000</w:t>
      </w:r>
      <w:r>
        <w:rPr>
          <w:rFonts w:eastAsia="Arial" w:cs="Arial" w:ascii="Arial" w:hAnsi="Arial"/>
          <w:color w:val="000000"/>
          <w:sz w:val="21"/>
          <w:szCs w:val="21"/>
        </w:rPr>
        <w:t xml:space="preserve">1-35, neste ato representado(a) pelo(a) </w:t>
      </w:r>
      <w:r>
        <w:rPr>
          <w:rFonts w:eastAsia="Arial" w:cs="Arial" w:ascii="Arial" w:hAnsi="Arial"/>
          <w:iCs/>
          <w:color w:val="000000"/>
          <w:sz w:val="21"/>
          <w:szCs w:val="21"/>
        </w:rPr>
        <w:t xml:space="preserve">Prefeito(a) Municipal </w:t>
      </w:r>
      <w:r>
        <w:rPr>
          <w:rFonts w:eastAsia="Arial" w:cs="Arial" w:ascii="Arial" w:hAnsi="Arial"/>
          <w:b/>
          <w:iCs/>
          <w:color w:val="000000"/>
          <w:sz w:val="21"/>
          <w:szCs w:val="21"/>
        </w:rPr>
        <w:t>Margarida Maria Singer</w:t>
      </w:r>
      <w:r>
        <w:rPr>
          <w:rFonts w:eastAsia="Arial" w:cs="Arial" w:ascii="Arial" w:hAnsi="Arial"/>
          <w:i/>
          <w:iCs/>
          <w:color w:val="000000"/>
          <w:sz w:val="21"/>
          <w:szCs w:val="21"/>
        </w:rPr>
        <w:t xml:space="preserve">, </w:t>
      </w:r>
      <w:r>
        <w:rPr>
          <w:rFonts w:eastAsia="Arial" w:cs="Arial" w:ascii="Arial" w:hAnsi="Arial"/>
          <w:color w:val="000000"/>
          <w:sz w:val="21"/>
          <w:szCs w:val="21"/>
        </w:rPr>
        <w:t>portador(a) da Matrícula Funcional nº 22282-0, empossado(a) a partir de 01° de janeiro de 2021, e pelo(a)</w:t>
      </w:r>
      <w:r>
        <w:rPr>
          <w:rFonts w:eastAsia="Arial" w:cs="Arial" w:ascii="Arial" w:hAnsi="Arial"/>
          <w:iCs/>
          <w:color w:val="000000"/>
          <w:sz w:val="21"/>
          <w:szCs w:val="21"/>
        </w:rPr>
        <w:t>Secretário(a) Municipal de</w:t>
      </w:r>
      <w:r>
        <w:rPr>
          <w:rFonts w:eastAsia="Arial" w:cs="Arial" w:ascii="Arial" w:hAnsi="Arial"/>
          <w:i/>
          <w:iCs/>
          <w:color w:val="000000"/>
          <w:sz w:val="21"/>
          <w:szCs w:val="21"/>
        </w:rPr>
        <w:t xml:space="preserve"> ......................... </w:t>
      </w:r>
      <w:r>
        <w:rPr>
          <w:rFonts w:eastAsia="Arial" w:cs="Arial" w:ascii="Arial" w:hAnsi="Arial"/>
          <w:color w:val="000000"/>
          <w:sz w:val="21"/>
          <w:szCs w:val="21"/>
        </w:rPr>
        <w:t>(</w:t>
      </w:r>
      <w:r>
        <w:rPr>
          <w:rFonts w:eastAsia="Arial" w:cs="Arial" w:ascii="Arial" w:hAnsi="Arial"/>
          <w:i/>
          <w:iCs/>
          <w:color w:val="000000"/>
          <w:sz w:val="21"/>
          <w:szCs w:val="21"/>
        </w:rPr>
        <w:t>cargo e nome</w:t>
      </w:r>
      <w:r>
        <w:rPr>
          <w:rFonts w:eastAsia="Arial" w:cs="Arial" w:ascii="Arial" w:hAnsi="Arial"/>
          <w:color w:val="000000"/>
          <w:sz w:val="21"/>
          <w:szCs w:val="21"/>
        </w:rPr>
        <w:t>), portador da Matrícula Funcional nº .........., nomeado(a) pela Portaria nº ......, de ..... de ..................... de 20..., publicada no</w:t>
      </w:r>
      <w:r>
        <w:rPr>
          <w:rFonts w:eastAsia="Arial" w:cs="Arial" w:ascii="Arial" w:hAnsi="Arial"/>
          <w:i/>
          <w:iCs/>
          <w:color w:val="000000"/>
          <w:sz w:val="21"/>
          <w:szCs w:val="21"/>
        </w:rPr>
        <w:t xml:space="preserve"> Diário Oficial do Município </w:t>
      </w:r>
      <w:r>
        <w:rPr>
          <w:rFonts w:eastAsia="Arial" w:cs="Arial" w:ascii="Arial" w:hAnsi="Arial"/>
          <w:color w:val="000000"/>
          <w:sz w:val="21"/>
          <w:szCs w:val="21"/>
        </w:rPr>
        <w:t xml:space="preserve">de ..... de ............... de ..........., doravante denominado </w:t>
      </w:r>
      <w:r>
        <w:rPr>
          <w:rFonts w:eastAsia="Arial" w:cs="Arial" w:ascii="Arial" w:hAnsi="Arial"/>
          <w:b/>
          <w:color w:val="000000"/>
          <w:sz w:val="21"/>
          <w:szCs w:val="21"/>
        </w:rPr>
        <w:t>MUNICÍPIO</w:t>
      </w:r>
      <w:r>
        <w:rPr>
          <w:rFonts w:eastAsia="Arial" w:cs="Arial" w:ascii="Arial" w:hAnsi="Arial"/>
          <w:color w:val="000000"/>
          <w:sz w:val="21"/>
          <w:szCs w:val="21"/>
        </w:rPr>
        <w:t xml:space="preserve">, e o(a) profissional/empresa .............................., </w:t>
      </w:r>
      <w:r>
        <w:rPr>
          <w:rFonts w:eastAsia="Arial" w:cs="Arial" w:ascii="Arial" w:hAnsi="Arial"/>
          <w:i/>
          <w:iCs/>
          <w:color w:val="000000"/>
          <w:sz w:val="21"/>
          <w:szCs w:val="21"/>
        </w:rPr>
        <w:t>inscrito(a) no CNPJ/MF sob o nº ............................, sediado(a) na</w:t>
      </w:r>
      <w:r>
        <w:rPr>
          <w:rFonts w:eastAsia="Arial" w:cs="Arial" w:ascii="Arial" w:hAnsi="Arial"/>
          <w:color w:val="000000"/>
          <w:sz w:val="21"/>
          <w:szCs w:val="21"/>
        </w:rPr>
        <w:t xml:space="preserve">..................................., doravante designado </w:t>
      </w:r>
      <w:r>
        <w:rPr>
          <w:rFonts w:eastAsia="Arial" w:cs="Arial" w:ascii="Arial" w:hAnsi="Arial"/>
          <w:b/>
          <w:color w:val="000000"/>
          <w:sz w:val="21"/>
          <w:szCs w:val="21"/>
        </w:rPr>
        <w:t>DETENTOR(A) DA ATA</w:t>
      </w:r>
      <w:r>
        <w:rPr>
          <w:rFonts w:eastAsia="Arial" w:cs="Arial" w:ascii="Arial" w:hAnsi="Arial"/>
          <w:color w:val="000000"/>
          <w:sz w:val="21"/>
          <w:szCs w:val="21"/>
        </w:rPr>
        <w:t xml:space="preserve">, </w:t>
      </w:r>
      <w:r>
        <w:rPr>
          <w:rFonts w:eastAsia="Arial" w:cs="Arial" w:ascii="Arial" w:hAnsi="Arial"/>
          <w:i/>
          <w:iCs/>
          <w:color w:val="000000"/>
          <w:sz w:val="21"/>
          <w:szCs w:val="21"/>
        </w:rPr>
        <w:t>neste ato representado(a) por</w:t>
      </w:r>
      <w:r>
        <w:rPr>
          <w:rFonts w:eastAsia="Arial" w:cs="Arial" w:ascii="Arial" w:hAnsi="Arial"/>
          <w:color w:val="000000"/>
          <w:sz w:val="21"/>
          <w:szCs w:val="21"/>
        </w:rPr>
        <w:t xml:space="preserve">.................................. (nome e função no contrato), </w:t>
      </w:r>
      <w:r>
        <w:rPr>
          <w:rFonts w:eastAsia="Arial" w:cs="Arial" w:ascii="Arial" w:hAnsi="Arial"/>
          <w:i/>
          <w:iCs/>
          <w:color w:val="000000"/>
          <w:sz w:val="21"/>
          <w:szCs w:val="21"/>
        </w:rPr>
        <w:t xml:space="preserve">conforme atos constitutivos da empresa </w:t>
      </w:r>
      <w:r>
        <w:rPr>
          <w:rFonts w:eastAsia="Arial" w:cs="Arial" w:ascii="Arial" w:hAnsi="Arial"/>
          <w:b/>
          <w:bCs/>
          <w:i/>
          <w:iCs/>
          <w:color w:val="000000"/>
          <w:sz w:val="21"/>
          <w:szCs w:val="21"/>
        </w:rPr>
        <w:t>OU</w:t>
      </w:r>
      <w:r>
        <w:rPr>
          <w:rFonts w:eastAsia="Arial" w:cs="Arial" w:ascii="Arial" w:hAnsi="Arial"/>
          <w:i/>
          <w:iCs/>
          <w:color w:val="000000"/>
          <w:sz w:val="21"/>
          <w:szCs w:val="21"/>
        </w:rPr>
        <w:t xml:space="preserve"> procuração apresentada nos autos, </w:t>
      </w:r>
      <w:r>
        <w:rPr>
          <w:rFonts w:eastAsia="Arial" w:cs="Arial" w:ascii="Arial" w:hAnsi="Arial"/>
          <w:color w:val="000000"/>
          <w:sz w:val="21"/>
          <w:szCs w:val="21"/>
        </w:rPr>
        <w:t xml:space="preserve">tendo em vista o que consta no Processo Administrativo/Solicitação de Contratação nº .............................. e em observância às disposições da </w:t>
      </w:r>
      <w:hyperlink r:id="rId27">
        <w:r>
          <w:rPr>
            <w:rStyle w:val="LinkdaInternet"/>
            <w:rFonts w:eastAsia="Arial" w:cs="Arial" w:ascii="Arial" w:hAnsi="Arial"/>
            <w:color w:val="000000"/>
            <w:sz w:val="21"/>
            <w:szCs w:val="21"/>
          </w:rPr>
          <w:t>Lei nº 14.133, de 1º de abril de 2021</w:t>
        </w:r>
      </w:hyperlink>
      <w:r>
        <w:rPr>
          <w:rFonts w:eastAsia="Arial" w:cs="Arial" w:ascii="Arial" w:hAnsi="Arial"/>
          <w:color w:val="000000"/>
          <w:sz w:val="21"/>
          <w:szCs w:val="21"/>
        </w:rPr>
        <w:t xml:space="preserve">, no </w:t>
      </w:r>
      <w:commentRangeStart w:id="39"/>
      <w:r>
        <w:rPr>
          <w:rFonts w:cs="Arial" w:ascii="Arial" w:hAnsi="Arial"/>
          <w:color w:val="000000"/>
          <w:sz w:val="21"/>
          <w:szCs w:val="21"/>
        </w:rPr>
        <w:t>Decreto n.º 11.462, de 31 de março de 2023</w:t>
      </w:r>
      <w:r>
        <w:rPr>
          <w:rFonts w:cs="Arial" w:ascii="Arial" w:hAnsi="Arial"/>
          <w:color w:val="000000"/>
          <w:sz w:val="21"/>
          <w:szCs w:val="21"/>
        </w:rPr>
      </w:r>
      <w:commentRangeEnd w:id="39"/>
      <w:r>
        <w:commentReference w:id="39"/>
      </w:r>
      <w:r>
        <w:rPr>
          <w:rFonts w:eastAsia="Arial" w:cs="Arial" w:ascii="Arial" w:hAnsi="Arial"/>
          <w:color w:val="000000"/>
          <w:sz w:val="21"/>
          <w:szCs w:val="21"/>
        </w:rPr>
        <w:t>e demais legislações aplicáveis, resolvem celebrar a presente Ata de Registro de Preços</w:t>
      </w:r>
      <w:r>
        <w:rPr>
          <w:rFonts w:eastAsia="Arial" w:cs="Arial" w:ascii="Arial" w:hAnsi="Arial"/>
          <w:i w:val="false"/>
          <w:iCs w:val="false"/>
          <w:color w:val="000000"/>
          <w:sz w:val="21"/>
          <w:szCs w:val="21"/>
        </w:rPr>
        <w:t>, decorrente do</w:t>
      </w:r>
      <w:r>
        <w:rPr>
          <w:rFonts w:eastAsia="Arial" w:cs="Arial" w:ascii="Arial" w:hAnsi="Arial"/>
          <w:b/>
          <w:bCs/>
          <w:i w:val="false"/>
          <w:iCs w:val="false"/>
          <w:color w:val="000000"/>
          <w:sz w:val="21"/>
          <w:szCs w:val="21"/>
        </w:rPr>
        <w:t xml:space="preserve"> Pregão Eletrônico n.° 093/2024-SERMALI,</w:t>
      </w:r>
      <w:r>
        <w:rPr>
          <w:rFonts w:eastAsia="Arial" w:cs="Arial" w:ascii="Arial" w:hAnsi="Arial"/>
          <w:color w:val="000000"/>
          <w:sz w:val="21"/>
          <w:szCs w:val="21"/>
        </w:rPr>
        <w:t xml:space="preserve"> mediante as cláusulas e condições a seguir enunciadas.</w:t>
      </w:r>
    </w:p>
    <w:p>
      <w:pPr>
        <w:pStyle w:val="Nivel01"/>
        <w:numPr>
          <w:ilvl w:val="0"/>
          <w:numId w:val="189"/>
        </w:numPr>
        <w:tabs>
          <w:tab w:val="clear" w:pos="708"/>
          <w:tab w:val="left" w:pos="0" w:leader="none"/>
          <w:tab w:val="left" w:pos="284" w:leader="none"/>
          <w:tab w:val="left" w:pos="567" w:leader="none"/>
        </w:tabs>
        <w:ind w:left="0" w:right="0" w:hanging="0"/>
        <w:rPr>
          <w:sz w:val="21"/>
          <w:szCs w:val="21"/>
        </w:rPr>
      </w:pPr>
      <w:r>
        <w:rPr>
          <w:sz w:val="21"/>
          <w:szCs w:val="21"/>
        </w:rPr>
        <w:t>DO OBJETO</w:t>
      </w:r>
    </w:p>
    <w:p>
      <w:pPr>
        <w:pStyle w:val="Nivel2"/>
        <w:numPr>
          <w:ilvl w:val="1"/>
          <w:numId w:val="1"/>
        </w:numPr>
        <w:tabs>
          <w:tab w:val="left" w:pos="0" w:leader="none"/>
          <w:tab w:val="left" w:pos="426" w:leader="none"/>
        </w:tabs>
        <w:ind w:left="0" w:hanging="0"/>
        <w:rPr/>
      </w:pPr>
      <w:r>
        <w:rPr>
          <w:sz w:val="21"/>
          <w:szCs w:val="21"/>
        </w:rPr>
        <w:t xml:space="preserve">A presente Ata tem por objeto o registro de preços para a eventual fornecimento de equipamentos e serviços para implantação de dispositivos de segurança aos transeuntes em via pública e demais pontos que necessitem de advertência complementar nas vias públicas do Município de São José dos Pinhais, conforme abaixo relacionados, considerando as condições dispostas no Termo de Referência, </w:t>
      </w:r>
      <w:r>
        <w:rPr>
          <w:i w:val="false"/>
          <w:iCs w:val="false"/>
          <w:color w:val="000000"/>
          <w:sz w:val="21"/>
          <w:szCs w:val="21"/>
        </w:rPr>
        <w:t>anexo I do edital de Licitação nº 093/2024</w:t>
      </w:r>
      <w:r>
        <w:rPr>
          <w:i/>
          <w:color w:val="FF0000"/>
          <w:sz w:val="21"/>
          <w:szCs w:val="21"/>
        </w:rPr>
        <w:t xml:space="preserve"> </w:t>
      </w:r>
      <w:r>
        <w:rPr>
          <w:sz w:val="21"/>
          <w:szCs w:val="21"/>
        </w:rPr>
        <w:t>que é parte integrante desta Ata, assim como as propostas cujos preços tenham sido registrados, independentemente de transcrição.</w:t>
      </w:r>
    </w:p>
    <w:p>
      <w:pPr>
        <w:pStyle w:val="Nivel01"/>
        <w:numPr>
          <w:ilvl w:val="0"/>
          <w:numId w:val="1"/>
        </w:numPr>
        <w:tabs>
          <w:tab w:val="clear" w:pos="708"/>
          <w:tab w:val="left" w:pos="0" w:leader="none"/>
          <w:tab w:val="left" w:pos="284" w:leader="none"/>
          <w:tab w:val="left" w:pos="567" w:leader="none"/>
        </w:tabs>
        <w:ind w:left="0" w:right="0" w:hanging="0"/>
        <w:rPr>
          <w:sz w:val="21"/>
          <w:szCs w:val="21"/>
        </w:rPr>
      </w:pPr>
      <w:r>
        <w:rPr>
          <w:sz w:val="21"/>
          <w:szCs w:val="21"/>
        </w:rPr>
        <w:t>DOS PREÇOS, ESPECIFICAÇÕES E QUANTITATIVOS</w:t>
      </w:r>
    </w:p>
    <w:p>
      <w:pPr>
        <w:pStyle w:val="Nivel2"/>
        <w:numPr>
          <w:ilvl w:val="1"/>
          <w:numId w:val="1"/>
        </w:numPr>
        <w:tabs>
          <w:tab w:val="left" w:pos="0" w:leader="none"/>
          <w:tab w:val="left" w:pos="426" w:leader="none"/>
        </w:tabs>
        <w:ind w:left="0" w:hanging="0"/>
        <w:rPr/>
      </w:pPr>
      <w:commentRangeStart w:id="40"/>
      <w:r>
        <w:rPr>
          <w:sz w:val="21"/>
          <w:szCs w:val="21"/>
        </w:rPr>
        <w:t>O preço registrado</w:t>
      </w:r>
      <w:r>
        <w:rPr>
          <w:sz w:val="21"/>
          <w:szCs w:val="21"/>
        </w:rPr>
      </w:r>
      <w:commentRangeEnd w:id="40"/>
      <w:r>
        <w:commentReference w:id="40"/>
      </w:r>
      <w:r>
        <w:rPr>
          <w:sz w:val="21"/>
          <w:szCs w:val="21"/>
        </w:rPr>
        <w:t xml:space="preserve">, as especificações do objeto, </w:t>
      </w:r>
      <w:commentRangeStart w:id="41"/>
      <w:r>
        <w:rPr>
          <w:sz w:val="21"/>
          <w:szCs w:val="21"/>
        </w:rPr>
        <w:t>as quantidades máximas de cada item</w:t>
      </w:r>
      <w:r>
        <w:rPr>
          <w:sz w:val="21"/>
          <w:szCs w:val="21"/>
        </w:rPr>
      </w:r>
      <w:commentRangeEnd w:id="41"/>
      <w:r>
        <w:commentReference w:id="41"/>
      </w:r>
      <w:r>
        <w:rPr>
          <w:sz w:val="21"/>
          <w:szCs w:val="21"/>
        </w:rPr>
        <w:t xml:space="preserve">, fornecedor e as demais condições ofertadas na proposta são as que seguem: </w:t>
      </w:r>
    </w:p>
    <w:tbl>
      <w:tblPr>
        <w:tblW w:w="9388" w:type="dxa"/>
        <w:jc w:val="left"/>
        <w:tblInd w:w="-2" w:type="dxa"/>
        <w:tblLayout w:type="fixed"/>
        <w:tblCellMar>
          <w:top w:w="0" w:type="dxa"/>
          <w:left w:w="10" w:type="dxa"/>
          <w:bottom w:w="0" w:type="dxa"/>
          <w:right w:w="10" w:type="dxa"/>
        </w:tblCellMar>
        <w:tblLook w:val="0000"/>
      </w:tblPr>
      <w:tblGrid>
        <w:gridCol w:w="565"/>
        <w:gridCol w:w="3684"/>
        <w:gridCol w:w="1191"/>
        <w:gridCol w:w="1137"/>
        <w:gridCol w:w="1537"/>
        <w:gridCol w:w="1273"/>
      </w:tblGrid>
      <w:tr>
        <w:trPr>
          <w:trHeight w:val="225" w:hRule="atLeast"/>
        </w:trPr>
        <w:tc>
          <w:tcPr>
            <w:tcW w:w="9387" w:type="dxa"/>
            <w:gridSpan w:val="6"/>
            <w:tcBorders>
              <w:top w:val="single" w:sz="2" w:space="0" w:color="000000"/>
              <w:left w:val="single" w:sz="2" w:space="0" w:color="000000"/>
              <w:bottom w:val="single" w:sz="2" w:space="0" w:color="000000"/>
              <w:right w:val="single" w:sz="2" w:space="0" w:color="000000"/>
            </w:tcBorders>
            <w:shd w:color="auto" w:fill="D9D9D9" w:val="clear"/>
            <w:vAlign w:val="center"/>
          </w:tcPr>
          <w:p>
            <w:pPr>
              <w:pStyle w:val="Normal"/>
              <w:widowControl w:val="false"/>
              <w:ind w:right="-30" w:hanging="0"/>
              <w:jc w:val="center"/>
              <w:rPr>
                <w:rFonts w:ascii="Arial" w:hAnsi="Arial" w:cs="Arial"/>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tc>
      </w:tr>
      <w:tr>
        <w:trPr>
          <w:trHeight w:val="278" w:hRule="atLeast"/>
        </w:trPr>
        <w:tc>
          <w:tcPr>
            <w:tcW w:w="9387" w:type="dxa"/>
            <w:gridSpan w:val="6"/>
            <w:tcBorders>
              <w:left w:val="single" w:sz="2" w:space="0" w:color="000000"/>
              <w:bottom w:val="single" w:sz="2" w:space="0" w:color="000000"/>
              <w:right w:val="single" w:sz="2" w:space="0" w:color="000000"/>
            </w:tcBorders>
            <w:shd w:color="auto" w:fill="D9D9D9" w:val="clear"/>
            <w:vAlign w:val="center"/>
          </w:tcPr>
          <w:p>
            <w:pPr>
              <w:pStyle w:val="Normal"/>
              <w:widowControl w:val="false"/>
              <w:ind w:right="-30" w:hanging="0"/>
              <w:jc w:val="center"/>
              <w:rPr>
                <w:rFonts w:ascii="Arial" w:hAnsi="Arial" w:cs="Arial"/>
                <w:b/>
                <w:b/>
                <w:bCs/>
                <w:sz w:val="18"/>
                <w:szCs w:val="18"/>
              </w:rPr>
            </w:pPr>
            <w:r>
              <w:rPr>
                <w:rFonts w:cs="Arial" w:ascii="Arial" w:hAnsi="Arial"/>
                <w:b/>
                <w:bCs/>
                <w:sz w:val="18"/>
                <w:szCs w:val="18"/>
              </w:rPr>
              <w:t>LOTE (GRUPO)</w:t>
            </w:r>
          </w:p>
        </w:tc>
      </w:tr>
      <w:tr>
        <w:trPr>
          <w:trHeight w:val="562" w:hRule="atLeast"/>
        </w:trPr>
        <w:tc>
          <w:tcPr>
            <w:tcW w:w="565" w:type="dxa"/>
            <w:tcBorders>
              <w:left w:val="single" w:sz="2" w:space="0" w:color="000000"/>
              <w:bottom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ITEM</w:t>
            </w:r>
          </w:p>
        </w:tc>
        <w:tc>
          <w:tcPr>
            <w:tcW w:w="3684" w:type="dxa"/>
            <w:tcBorders>
              <w:left w:val="single" w:sz="2" w:space="0" w:color="000000"/>
              <w:bottom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ESPECIFICAÇÃO TÉCNICA</w:t>
            </w:r>
          </w:p>
        </w:tc>
        <w:tc>
          <w:tcPr>
            <w:tcW w:w="1191" w:type="dxa"/>
            <w:tcBorders>
              <w:left w:val="single" w:sz="2" w:space="0" w:color="000000"/>
              <w:bottom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UNID. MEDIDA</w:t>
            </w:r>
          </w:p>
        </w:tc>
        <w:tc>
          <w:tcPr>
            <w:tcW w:w="1137" w:type="dxa"/>
            <w:tcBorders>
              <w:left w:val="single" w:sz="2" w:space="0" w:color="000000"/>
              <w:bottom w:val="single" w:sz="2" w:space="0" w:color="000000"/>
              <w:right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QTD.</w:t>
            </w:r>
          </w:p>
        </w:tc>
        <w:tc>
          <w:tcPr>
            <w:tcW w:w="1537" w:type="dxa"/>
            <w:tcBorders>
              <w:left w:val="single" w:sz="2" w:space="0" w:color="000000"/>
              <w:bottom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VALOR UNITÁRIO (R$)</w:t>
            </w:r>
          </w:p>
        </w:tc>
        <w:tc>
          <w:tcPr>
            <w:tcW w:w="1273" w:type="dxa"/>
            <w:tcBorders>
              <w:left w:val="single" w:sz="2" w:space="0" w:color="000000"/>
              <w:bottom w:val="single" w:sz="2" w:space="0" w:color="000000"/>
              <w:right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VALOR TOTAL (R$)</w:t>
            </w:r>
          </w:p>
        </w:tc>
      </w:tr>
      <w:tr>
        <w:trPr>
          <w:trHeight w:val="174" w:hRule="atLeast"/>
        </w:trPr>
        <w:tc>
          <w:tcPr>
            <w:tcW w:w="565"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3684"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91"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37"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537"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73"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r>
    </w:tbl>
    <w:p>
      <w:pPr>
        <w:pStyle w:val="Nivel2"/>
        <w:tabs>
          <w:tab w:val="clear" w:pos="0"/>
        </w:tabs>
        <w:spacing w:lineRule="auto" w:line="240" w:before="0" w:after="0"/>
        <w:ind w:left="0" w:hanging="0"/>
        <w:rPr>
          <w:szCs w:val="21"/>
          <w:lang w:eastAsia="en-US"/>
        </w:rPr>
      </w:pPr>
      <w:r>
        <w:rPr>
          <w:szCs w:val="21"/>
          <w:lang w:eastAsia="en-US"/>
        </w:rPr>
      </w:r>
    </w:p>
    <w:p>
      <w:pPr>
        <w:pStyle w:val="Nivel2"/>
        <w:numPr>
          <w:ilvl w:val="1"/>
          <w:numId w:val="1"/>
        </w:numPr>
        <w:tabs>
          <w:tab w:val="left" w:pos="0" w:leader="none"/>
          <w:tab w:val="left" w:pos="426" w:leader="none"/>
        </w:tabs>
        <w:spacing w:before="0" w:after="0"/>
        <w:ind w:left="0" w:hanging="0"/>
        <w:rPr/>
      </w:pPr>
      <w:commentRangeStart w:id="42"/>
      <w:r>
        <w:rPr>
          <w:sz w:val="21"/>
          <w:szCs w:val="21"/>
          <w:lang w:eastAsia="en-US"/>
        </w:rPr>
        <w:t>A listagem do cadastro de reserva referente ao presente registro de preços consta como anexo a esta Ata.</w:t>
      </w:r>
      <w:commentRangeEnd w:id="42"/>
      <w:r>
        <w:commentReference w:id="42"/>
      </w:r>
      <w:r>
        <w:rPr>
          <w:sz w:val="21"/>
          <w:szCs w:val="21"/>
          <w:lang w:eastAsia="en-US"/>
        </w:rPr>
      </w:r>
    </w:p>
    <w:p>
      <w:pPr>
        <w:pStyle w:val="Nivel01"/>
        <w:numPr>
          <w:ilvl w:val="0"/>
          <w:numId w:val="1"/>
        </w:numPr>
        <w:ind w:left="0" w:right="0" w:hanging="0"/>
        <w:rPr/>
      </w:pPr>
      <w:r>
        <w:rPr>
          <w:sz w:val="21"/>
          <w:szCs w:val="21"/>
        </w:rPr>
        <w:t xml:space="preserve">DA ADESÃO À ATA DE REGISTRO DE PREÇOS </w:t>
      </w:r>
    </w:p>
    <w:p>
      <w:pPr>
        <w:pStyle w:val="Nvel2Red"/>
        <w:numPr>
          <w:ilvl w:val="1"/>
          <w:numId w:val="1"/>
        </w:numPr>
        <w:tabs>
          <w:tab w:val="left" w:pos="0" w:leader="none"/>
          <w:tab w:val="left" w:pos="993" w:leader="none"/>
        </w:tabs>
        <w:ind w:left="0" w:hanging="0"/>
        <w:rPr>
          <w:i w:val="false"/>
          <w:i w:val="false"/>
          <w:iCs w:val="false"/>
          <w:color w:val="000000"/>
        </w:rPr>
      </w:pPr>
      <w:commentRangeStart w:id="43"/>
      <w:r>
        <w:rPr>
          <w:i w:val="false"/>
          <w:iCs w:val="false"/>
          <w:color w:val="000000"/>
          <w:sz w:val="21"/>
          <w:szCs w:val="21"/>
          <w:lang w:eastAsia="en-US"/>
        </w:rPr>
        <w:t xml:space="preserve">Não será admitida a adesão à ata de registro de preços </w:t>
      </w:r>
      <w:r>
        <w:rPr>
          <w:i w:val="false"/>
          <w:iCs w:val="false"/>
          <w:color w:val="000000"/>
          <w:sz w:val="21"/>
          <w:szCs w:val="21"/>
          <w:lang w:eastAsia="en-US"/>
        </w:rPr>
      </w:r>
      <w:commentRangeEnd w:id="43"/>
      <w:r>
        <w:commentReference w:id="43"/>
      </w:r>
      <w:r>
        <w:rPr>
          <w:i w:val="false"/>
          <w:iCs w:val="false"/>
          <w:color w:val="000000"/>
          <w:sz w:val="21"/>
          <w:szCs w:val="21"/>
          <w:lang w:eastAsia="en-US"/>
        </w:rPr>
        <w:t>decorrente desta licitação ou desta contratação direta, conforme Art. 265, § 1º do Decreto Municipal nº 5807de 29 de dezembro de 2023.</w:t>
      </w:r>
    </w:p>
    <w:p>
      <w:pPr>
        <w:pStyle w:val="Nivel01"/>
        <w:numPr>
          <w:ilvl w:val="0"/>
          <w:numId w:val="1"/>
        </w:numPr>
        <w:ind w:left="0" w:right="0" w:hanging="0"/>
        <w:rPr/>
      </w:pPr>
      <w:r>
        <w:rPr>
          <w:sz w:val="21"/>
          <w:szCs w:val="21"/>
        </w:rPr>
        <w:t>VALIDADE, FORMALIZAÇÃO DA ATA DE REGISTRO DE PREÇOS E CADASTRO RESERVA</w:t>
      </w:r>
    </w:p>
    <w:p>
      <w:pPr>
        <w:pStyle w:val="Nivel2"/>
        <w:numPr>
          <w:ilvl w:val="1"/>
          <w:numId w:val="1"/>
        </w:numPr>
        <w:tabs>
          <w:tab w:val="left" w:pos="0" w:leader="none"/>
          <w:tab w:val="left" w:pos="993" w:leader="none"/>
        </w:tabs>
        <w:ind w:left="0" w:hanging="0"/>
        <w:rPr/>
      </w:pPr>
      <w:r>
        <w:rPr>
          <w:sz w:val="21"/>
          <w:szCs w:val="21"/>
        </w:rPr>
        <w:t xml:space="preserve">A validade da Ata de Registro de Preços será de 1 (um) ano, contado a </w:t>
      </w:r>
      <w:commentRangeStart w:id="44"/>
      <w:r>
        <w:rPr>
          <w:sz w:val="21"/>
          <w:szCs w:val="21"/>
        </w:rPr>
        <w:t>partir</w:t>
      </w:r>
      <w:r>
        <w:rPr>
          <w:sz w:val="21"/>
          <w:szCs w:val="21"/>
        </w:rPr>
      </w:r>
      <w:commentRangeEnd w:id="44"/>
      <w:r>
        <w:commentReference w:id="44"/>
      </w:r>
      <w:r>
        <w:rPr>
          <w:sz w:val="21"/>
          <w:szCs w:val="21"/>
        </w:rPr>
        <w:t xml:space="preserve"> da sua assinatura, com posterior divulgação no Portal da </w:t>
      </w:r>
      <w:r>
        <w:rPr>
          <w:color w:val="000000"/>
          <w:sz w:val="21"/>
          <w:szCs w:val="21"/>
          <w:shd w:fill="FFFFFF" w:val="clear"/>
        </w:rPr>
        <w:t>Transparência do Município e no Portal Nacional de Contratações públicas (PNCP), conforme prazos legalmente estabelecidos, podendo ser prorrogada por igual período, mediante a anuência do fornecedor, desde que comprovado o preço vantajoso.</w:t>
      </w:r>
    </w:p>
    <w:p>
      <w:pPr>
        <w:pStyle w:val="Nvel3"/>
        <w:numPr>
          <w:ilvl w:val="2"/>
          <w:numId w:val="1"/>
        </w:numPr>
        <w:tabs>
          <w:tab w:val="left" w:pos="0" w:leader="none"/>
          <w:tab w:val="left" w:pos="1276" w:leader="none"/>
        </w:tabs>
        <w:ind w:left="0" w:hanging="0"/>
        <w:rPr>
          <w:color w:val="000000"/>
          <w:shd w:fill="FFFFFF" w:val="clear"/>
        </w:rPr>
      </w:pPr>
      <w:r>
        <w:rPr>
          <w:color w:val="000000"/>
          <w:sz w:val="21"/>
          <w:szCs w:val="21"/>
          <w:shd w:fill="FFFFFF" w:val="clea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tabs>
          <w:tab w:val="left" w:pos="-142" w:leader="none"/>
          <w:tab w:val="left" w:pos="0" w:leader="none"/>
          <w:tab w:val="left" w:pos="1276" w:leader="none"/>
        </w:tabs>
        <w:ind w:left="0" w:hanging="0"/>
        <w:rPr>
          <w:color w:val="000000"/>
          <w:shd w:fill="FFFFFF" w:val="clear"/>
        </w:rPr>
      </w:pPr>
      <w:r>
        <w:rPr>
          <w:color w:val="000000"/>
          <w:sz w:val="21"/>
          <w:szCs w:val="21"/>
          <w:shd w:fill="FFFFFF" w:val="clear"/>
        </w:rPr>
        <w:t>Na formalização do contrato ou do instrumento substituto deverá haver a indicação da disponibilidade dos créditos orçamentários respectivos.</w:t>
      </w:r>
    </w:p>
    <w:p>
      <w:pPr>
        <w:pStyle w:val="Nivel2"/>
        <w:numPr>
          <w:ilvl w:val="1"/>
          <w:numId w:val="1"/>
        </w:numPr>
        <w:tabs>
          <w:tab w:val="left" w:pos="0" w:leader="none"/>
          <w:tab w:val="left" w:pos="993" w:leader="none"/>
        </w:tabs>
        <w:ind w:left="0" w:hanging="0"/>
        <w:rPr>
          <w:sz w:val="21"/>
          <w:szCs w:val="21"/>
        </w:rPr>
      </w:pPr>
      <w:r>
        <w:rPr>
          <w:sz w:val="21"/>
          <w:szCs w:val="21"/>
        </w:rPr>
        <w:t>A contratação com os fornecedores registrados na ata será formalizada pelo Município por intermédio de instrumento contratual, emissão de nota de empenho de despesa, autorização de compra ou outro instrumento hábil, conforme o art. 95 da Lei nº 14.133, de 2021.</w:t>
      </w:r>
    </w:p>
    <w:p>
      <w:pPr>
        <w:pStyle w:val="Nvel3"/>
        <w:numPr>
          <w:ilvl w:val="2"/>
          <w:numId w:val="1"/>
        </w:numPr>
        <w:tabs>
          <w:tab w:val="left" w:pos="0" w:leader="none"/>
          <w:tab w:val="left" w:pos="1276" w:leader="none"/>
        </w:tabs>
        <w:ind w:left="0" w:hanging="0"/>
        <w:rPr>
          <w:sz w:val="21"/>
          <w:szCs w:val="21"/>
        </w:rPr>
      </w:pPr>
      <w:r>
        <w:rPr>
          <w:sz w:val="21"/>
          <w:szCs w:val="21"/>
        </w:rPr>
        <w:t>O instrumento contratual de que trata o item 4.2. deverá ser assinado no prazo de validade da ata de registro de preços.</w:t>
      </w:r>
    </w:p>
    <w:p>
      <w:pPr>
        <w:pStyle w:val="Nivel2"/>
        <w:numPr>
          <w:ilvl w:val="1"/>
          <w:numId w:val="1"/>
        </w:numPr>
        <w:tabs>
          <w:tab w:val="left" w:pos="0" w:leader="none"/>
          <w:tab w:val="left" w:pos="993" w:leader="none"/>
        </w:tabs>
        <w:ind w:left="0" w:hanging="0"/>
        <w:rPr>
          <w:sz w:val="21"/>
          <w:szCs w:val="21"/>
        </w:rPr>
      </w:pPr>
      <w:r>
        <w:rPr>
          <w:sz w:val="21"/>
          <w:szCs w:val="21"/>
        </w:rPr>
        <w:t>Os contratos decorrentes do sistema de registro de preços poderão ser alterados, observado o art. 124 da Lei nº 14.133, de 2021.</w:t>
      </w:r>
    </w:p>
    <w:p>
      <w:pPr>
        <w:pStyle w:val="Nivel2"/>
        <w:numPr>
          <w:ilvl w:val="1"/>
          <w:numId w:val="1"/>
        </w:numPr>
        <w:tabs>
          <w:tab w:val="left" w:pos="0" w:leader="none"/>
          <w:tab w:val="left" w:pos="993" w:leader="none"/>
        </w:tabs>
        <w:ind w:left="0" w:hanging="0"/>
        <w:rPr>
          <w:sz w:val="21"/>
          <w:szCs w:val="21"/>
        </w:rPr>
      </w:pPr>
      <w:r>
        <w:rPr>
          <w:sz w:val="21"/>
          <w:szCs w:val="21"/>
        </w:rPr>
        <w:t>Após a homologação da licitação ou da contratação direta, deverão ser observadas as seguintes condições para formalização da ata de registro de preços:</w:t>
      </w:r>
    </w:p>
    <w:p>
      <w:pPr>
        <w:pStyle w:val="Nvel3"/>
        <w:numPr>
          <w:ilvl w:val="2"/>
          <w:numId w:val="1"/>
        </w:numPr>
        <w:tabs>
          <w:tab w:val="left" w:pos="0" w:leader="none"/>
          <w:tab w:val="left" w:pos="1276" w:leader="none"/>
        </w:tabs>
        <w:ind w:left="0" w:hanging="0"/>
        <w:rPr/>
      </w:pPr>
      <w:r>
        <w:rPr>
          <w:sz w:val="21"/>
          <w:szCs w:val="21"/>
        </w:rPr>
        <w:t>Serão registrados na ata os preços e os quantita</w:t>
      </w:r>
      <w:r>
        <w:rPr>
          <w:rFonts w:eastAsia="Arial"/>
          <w:sz w:val="21"/>
          <w:szCs w:val="21"/>
        </w:rPr>
        <w:t>ti</w:t>
      </w:r>
      <w:r>
        <w:rPr>
          <w:sz w:val="21"/>
          <w:szCs w:val="21"/>
        </w:rPr>
        <w:t>vos do adjudicatário, devendo ser observad</w:t>
      </w:r>
      <w:r>
        <w:rPr>
          <w:i w:val="false"/>
          <w:iCs w:val="false"/>
          <w:color w:val="000000"/>
          <w:sz w:val="21"/>
          <w:szCs w:val="21"/>
        </w:rPr>
        <w:t>a a possibilidade de o licitante oferecer ou não proposta em quantitativo inferior ao máximo previsto no edital e s</w:t>
      </w:r>
      <w:r>
        <w:rPr>
          <w:sz w:val="21"/>
          <w:szCs w:val="21"/>
        </w:rPr>
        <w:t>e obrigar nos limites dela;</w:t>
      </w:r>
    </w:p>
    <w:p>
      <w:pPr>
        <w:pStyle w:val="Nvel3"/>
        <w:numPr>
          <w:ilvl w:val="2"/>
          <w:numId w:val="1"/>
        </w:numPr>
        <w:tabs>
          <w:tab w:val="clear" w:pos="0"/>
          <w:tab w:val="left" w:pos="738" w:leader="none"/>
          <w:tab w:val="left" w:pos="1276" w:leader="none"/>
        </w:tabs>
        <w:ind w:left="0" w:hanging="0"/>
        <w:rPr>
          <w:sz w:val="21"/>
          <w:szCs w:val="21"/>
        </w:rPr>
      </w:pPr>
      <w:r>
        <w:rPr>
          <w:sz w:val="21"/>
          <w:szCs w:val="21"/>
        </w:rPr>
        <w:t>Será incluído na ata, na forma de anexo, o registro dos licitantes ou dos fornecedores que:</w:t>
      </w:r>
    </w:p>
    <w:p>
      <w:pPr>
        <w:pStyle w:val="Nvel4"/>
        <w:numPr>
          <w:ilvl w:val="3"/>
          <w:numId w:val="1"/>
        </w:numPr>
        <w:tabs>
          <w:tab w:val="clear" w:pos="708"/>
          <w:tab w:val="left" w:pos="-142" w:leader="none"/>
        </w:tabs>
        <w:ind w:left="0" w:hanging="0"/>
        <w:rPr>
          <w:sz w:val="21"/>
          <w:szCs w:val="21"/>
        </w:rPr>
      </w:pPr>
      <w:r>
        <w:rPr>
          <w:sz w:val="21"/>
          <w:szCs w:val="21"/>
        </w:rPr>
        <w:t>Aceitarem cotar os bens, as obras ou os serviços com preços iguais aos do adjudicatário, observada a classificação da licitação; e</w:t>
      </w:r>
    </w:p>
    <w:p>
      <w:pPr>
        <w:pStyle w:val="Nvel4"/>
        <w:numPr>
          <w:ilvl w:val="3"/>
          <w:numId w:val="1"/>
        </w:numPr>
        <w:tabs>
          <w:tab w:val="clear" w:pos="708"/>
          <w:tab w:val="left" w:pos="-142" w:leader="none"/>
        </w:tabs>
        <w:ind w:left="0" w:hanging="0"/>
        <w:rPr>
          <w:sz w:val="21"/>
          <w:szCs w:val="21"/>
        </w:rPr>
      </w:pPr>
      <w:r>
        <w:rPr>
          <w:sz w:val="21"/>
          <w:szCs w:val="21"/>
        </w:rPr>
        <w:t>Mantiverem sua proposta original.</w:t>
      </w:r>
      <w:bookmarkStart w:id="64" w:name="cadastro_reserva"/>
      <w:bookmarkEnd w:id="64"/>
    </w:p>
    <w:p>
      <w:pPr>
        <w:pStyle w:val="Nvel3"/>
        <w:numPr>
          <w:ilvl w:val="2"/>
          <w:numId w:val="1"/>
        </w:numPr>
        <w:tabs>
          <w:tab w:val="left" w:pos="0" w:leader="none"/>
          <w:tab w:val="left" w:pos="1276" w:leader="none"/>
        </w:tabs>
        <w:ind w:left="0" w:hanging="0"/>
        <w:rPr>
          <w:sz w:val="21"/>
          <w:szCs w:val="21"/>
        </w:rPr>
      </w:pPr>
      <w:r>
        <w:rPr>
          <w:sz w:val="21"/>
          <w:szCs w:val="21"/>
        </w:rPr>
        <w:t>Será respeitada, nas contratações, a ordem de classificação dos licitantes ou dos fornecedores registrados na ata.</w:t>
      </w:r>
    </w:p>
    <w:p>
      <w:pPr>
        <w:pStyle w:val="Nivel2"/>
        <w:numPr>
          <w:ilvl w:val="1"/>
          <w:numId w:val="1"/>
        </w:numPr>
        <w:tabs>
          <w:tab w:val="left" w:pos="0" w:leader="none"/>
          <w:tab w:val="left" w:pos="993" w:leader="none"/>
        </w:tabs>
        <w:ind w:left="0" w:hanging="0"/>
        <w:rPr/>
      </w:pPr>
      <w:r>
        <w:rPr>
          <w:sz w:val="21"/>
          <w:szCs w:val="21"/>
        </w:rPr>
        <w:t>O registro a que se refere o item 4.4.2 tem por obje</w:t>
      </w:r>
      <w:r>
        <w:rPr>
          <w:rFonts w:eastAsia="Arial"/>
          <w:sz w:val="21"/>
          <w:szCs w:val="21"/>
        </w:rPr>
        <w:t>ti</w:t>
      </w:r>
      <w:r>
        <w:rPr>
          <w:sz w:val="21"/>
          <w:szCs w:val="21"/>
        </w:rPr>
        <w:t>vo a formação de cadastro de reserva para o caso de impossibilidade de atendimento pelo signatário da ata.</w:t>
      </w:r>
    </w:p>
    <w:p>
      <w:pPr>
        <w:pStyle w:val="Nivel2"/>
        <w:numPr>
          <w:ilvl w:val="1"/>
          <w:numId w:val="1"/>
        </w:numPr>
        <w:tabs>
          <w:tab w:val="left" w:pos="0" w:leader="none"/>
          <w:tab w:val="left" w:pos="426" w:leader="none"/>
        </w:tabs>
        <w:ind w:left="0" w:hanging="0"/>
        <w:rPr>
          <w:sz w:val="21"/>
          <w:szCs w:val="21"/>
        </w:rPr>
      </w:pPr>
      <w:r>
        <w:rPr>
          <w:sz w:val="21"/>
          <w:szCs w:val="21"/>
        </w:rPr>
        <w:t>Para fins da ordem de classificação, os licitantes ou fornecedores que aceitarem reduzir suas propostas para o preço do adjudicatário antecederão aqueles que mantiverem sua proposta original.</w:t>
      </w:r>
    </w:p>
    <w:p>
      <w:pPr>
        <w:pStyle w:val="Nivel2"/>
        <w:numPr>
          <w:ilvl w:val="1"/>
          <w:numId w:val="1"/>
        </w:numPr>
        <w:tabs>
          <w:tab w:val="left" w:pos="0" w:leader="none"/>
          <w:tab w:val="left" w:pos="426" w:leader="none"/>
        </w:tabs>
        <w:ind w:left="0" w:hanging="0"/>
        <w:rPr>
          <w:shd w:fill="FFFFFF" w:val="clear"/>
        </w:rPr>
      </w:pPr>
      <w:r>
        <w:rPr>
          <w:sz w:val="21"/>
          <w:szCs w:val="21"/>
          <w:shd w:fill="FFFFFF" w:val="clear"/>
        </w:rPr>
        <w:t xml:space="preserve">A habilitação dos licitantes que comporão o cadastro de reserva a que se refere o item </w:t>
      </w:r>
      <w:r>
        <w:rPr>
          <w:sz w:val="21"/>
          <w:szCs w:val="21"/>
          <w:shd w:fill="FFFFFF" w:val="clear"/>
        </w:rPr>
        <w:fldChar w:fldCharType="begin"/>
      </w:r>
      <w:r>
        <w:rPr>
          <w:sz w:val="21"/>
          <w:shd w:fill="FFFFFF" w:val="clear"/>
          <w:szCs w:val="21"/>
        </w:rPr>
        <w:instrText> REF cadastro_reserva \r \h </w:instrText>
      </w:r>
      <w:r>
        <w:rPr>
          <w:sz w:val="21"/>
          <w:shd w:fill="FFFFFF" w:val="clear"/>
          <w:szCs w:val="21"/>
        </w:rPr>
        <w:fldChar w:fldCharType="separate"/>
      </w:r>
      <w:r>
        <w:rPr>
          <w:sz w:val="21"/>
          <w:shd w:fill="FFFFFF" w:val="clear"/>
          <w:szCs w:val="21"/>
        </w:rPr>
        <w:t>4.4.2.2.</w:t>
      </w:r>
      <w:r>
        <w:rPr>
          <w:sz w:val="21"/>
          <w:shd w:fill="FFFFFF" w:val="clear"/>
          <w:szCs w:val="21"/>
        </w:rPr>
        <w:fldChar w:fldCharType="end"/>
      </w:r>
      <w:r>
        <w:rPr>
          <w:sz w:val="21"/>
          <w:szCs w:val="21"/>
          <w:shd w:fill="FFFFFF" w:val="clear"/>
        </w:rPr>
        <w:t xml:space="preserve"> somente será efetuada quando houver necessidade de contratação dos licitantes remanescentes, nas seguintes hipóteses:</w:t>
      </w:r>
    </w:p>
    <w:p>
      <w:pPr>
        <w:pStyle w:val="Nvel3"/>
        <w:numPr>
          <w:ilvl w:val="2"/>
          <w:numId w:val="1"/>
        </w:numPr>
        <w:tabs>
          <w:tab w:val="left" w:pos="0" w:leader="none"/>
          <w:tab w:val="left" w:pos="426" w:leader="none"/>
        </w:tabs>
        <w:ind w:left="0" w:hanging="0"/>
        <w:rPr/>
      </w:pPr>
      <w:r>
        <w:rPr>
          <w:sz w:val="21"/>
          <w:szCs w:val="21"/>
          <w:shd w:fill="FFFFFF" w:val="clear"/>
        </w:rPr>
        <w:t>Quando o licit</w:t>
      </w:r>
      <w:r>
        <w:rPr>
          <w:i w:val="false"/>
          <w:iCs w:val="false"/>
          <w:color w:val="000000"/>
          <w:sz w:val="21"/>
          <w:szCs w:val="21"/>
          <w:shd w:fill="FFFFFF" w:val="clear"/>
        </w:rPr>
        <w:t>ante vencedor não assinar a ata de registro de preços, no prazo e nas condições esta</w:t>
      </w:r>
      <w:r>
        <w:rPr>
          <w:i w:val="false"/>
          <w:iCs w:val="false"/>
          <w:color w:val="000000"/>
          <w:sz w:val="21"/>
          <w:szCs w:val="21"/>
        </w:rPr>
        <w:t>belecidos no edital; e</w:t>
      </w:r>
    </w:p>
    <w:p>
      <w:pPr>
        <w:pStyle w:val="Nvel3"/>
        <w:numPr>
          <w:ilvl w:val="2"/>
          <w:numId w:val="1"/>
        </w:numPr>
        <w:tabs>
          <w:tab w:val="left" w:pos="0" w:leader="none"/>
          <w:tab w:val="left" w:pos="426" w:leader="none"/>
        </w:tabs>
        <w:ind w:left="0" w:hanging="0"/>
        <w:rPr>
          <w:i w:val="false"/>
          <w:i w:val="false"/>
          <w:iCs w:val="false"/>
          <w:color w:val="000000"/>
        </w:rPr>
      </w:pPr>
      <w:r>
        <w:rPr>
          <w:i w:val="false"/>
          <w:iCs w:val="false"/>
          <w:color w:val="000000"/>
          <w:sz w:val="21"/>
          <w:szCs w:val="21"/>
        </w:rPr>
        <w:t>Quando houver o cancelamento do registro do licitante ou do registro de preços nas hipóteses previstas no item 7.</w:t>
      </w:r>
    </w:p>
    <w:p>
      <w:pPr>
        <w:pStyle w:val="Nivel2"/>
        <w:numPr>
          <w:ilvl w:val="1"/>
          <w:numId w:val="1"/>
        </w:numPr>
        <w:tabs>
          <w:tab w:val="left" w:pos="0" w:leader="none"/>
          <w:tab w:val="left" w:pos="426" w:leader="none"/>
        </w:tabs>
        <w:ind w:left="0" w:hanging="0"/>
        <w:rPr>
          <w:sz w:val="21"/>
          <w:szCs w:val="21"/>
        </w:rPr>
      </w:pPr>
      <w:r>
        <w:rPr>
          <w:sz w:val="21"/>
          <w:szCs w:val="21"/>
        </w:rPr>
        <w:t>O preço registrado com indicação dos licitantes e fornecedores será divulgado no PNCP e ficará disponibilizado durante a vigência da ata de registro de preços.</w:t>
      </w:r>
    </w:p>
    <w:p>
      <w:pPr>
        <w:pStyle w:val="Nivel2"/>
        <w:numPr>
          <w:ilvl w:val="1"/>
          <w:numId w:val="1"/>
        </w:numPr>
        <w:tabs>
          <w:tab w:val="left" w:pos="0" w:leader="none"/>
          <w:tab w:val="left" w:pos="426" w:leader="none"/>
        </w:tabs>
        <w:ind w:left="0" w:hanging="0"/>
        <w:rPr>
          <w:sz w:val="21"/>
          <w:szCs w:val="21"/>
        </w:rPr>
      </w:pPr>
      <w:r>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tabs>
          <w:tab w:val="left" w:pos="0" w:leader="none"/>
          <w:tab w:val="left" w:pos="709" w:leader="none"/>
        </w:tabs>
        <w:ind w:left="0" w:hanging="0"/>
        <w:rPr>
          <w:sz w:val="21"/>
          <w:szCs w:val="21"/>
        </w:rPr>
      </w:pPr>
      <w:r>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tabs>
          <w:tab w:val="left" w:pos="0" w:leader="none"/>
          <w:tab w:val="left" w:pos="567" w:leader="none"/>
        </w:tabs>
        <w:ind w:left="0" w:hanging="0"/>
        <w:rPr>
          <w:sz w:val="21"/>
          <w:szCs w:val="21"/>
        </w:rPr>
      </w:pPr>
      <w:r>
        <w:rPr>
          <w:sz w:val="21"/>
          <w:szCs w:val="21"/>
        </w:rPr>
        <w:t>Quando o convocado não assinar a ata de registro de preços no prazo e nas condições estabelecidos no edital ou no aviso de contratação, e observado o disposto no item 4.7 e subitens, fica facultado à Administração convocar os licitantes remanescentes do cadastro de reserva, na ordem de classificação, para fazê-lo em igual prazo e nas condições propostas pelo primeiro classificado.</w:t>
      </w:r>
      <w:bookmarkStart w:id="65" w:name="recusa_dos_que_baixaram_preco"/>
      <w:bookmarkEnd w:id="65"/>
    </w:p>
    <w:p>
      <w:pPr>
        <w:pStyle w:val="Nivel2"/>
        <w:numPr>
          <w:ilvl w:val="1"/>
          <w:numId w:val="1"/>
        </w:numPr>
        <w:tabs>
          <w:tab w:val="left" w:pos="0" w:leader="none"/>
          <w:tab w:val="left" w:pos="426" w:leader="none"/>
        </w:tabs>
        <w:ind w:left="0" w:hanging="0"/>
        <w:rPr/>
      </w:pPr>
      <w:r>
        <w:rPr>
          <w:sz w:val="21"/>
          <w:szCs w:val="21"/>
        </w:rPr>
        <w:t xml:space="preserve">Na hipótese de nenhum dos licitantes que trata o item 4.4.2.1, aceitar a contratação nos termos do </w:t>
      </w:r>
      <w:r>
        <w:rPr>
          <w:i w:val="false"/>
          <w:iCs w:val="false"/>
          <w:color w:val="000000"/>
          <w:sz w:val="21"/>
          <w:szCs w:val="21"/>
        </w:rPr>
        <w:t>item anterior, a Administração, observados o valor es</w:t>
      </w:r>
      <w:r>
        <w:rPr>
          <w:rFonts w:eastAsia="Arial"/>
          <w:i w:val="false"/>
          <w:iCs w:val="false"/>
          <w:color w:val="000000"/>
          <w:sz w:val="21"/>
          <w:szCs w:val="21"/>
        </w:rPr>
        <w:t>ti</w:t>
      </w:r>
      <w:r>
        <w:rPr>
          <w:i w:val="false"/>
          <w:iCs w:val="false"/>
          <w:color w:val="000000"/>
          <w:sz w:val="21"/>
          <w:szCs w:val="21"/>
        </w:rPr>
        <w:t>mado e sua eventual atualização nos termos do edital,</w:t>
      </w:r>
      <w:r>
        <w:rPr>
          <w:sz w:val="21"/>
          <w:szCs w:val="21"/>
        </w:rPr>
        <w:t xml:space="preserve"> poderá:</w:t>
      </w:r>
    </w:p>
    <w:p>
      <w:pPr>
        <w:pStyle w:val="Nvel3"/>
        <w:numPr>
          <w:ilvl w:val="2"/>
          <w:numId w:val="1"/>
        </w:numPr>
        <w:tabs>
          <w:tab w:val="left" w:pos="0" w:leader="none"/>
          <w:tab w:val="left" w:pos="426" w:leader="none"/>
        </w:tabs>
        <w:ind w:left="0" w:hanging="0"/>
        <w:rPr>
          <w:sz w:val="21"/>
          <w:szCs w:val="21"/>
        </w:rPr>
      </w:pPr>
      <w:r>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tabs>
          <w:tab w:val="left" w:pos="0" w:leader="none"/>
          <w:tab w:val="left" w:pos="426" w:leader="none"/>
        </w:tabs>
        <w:ind w:left="0" w:hanging="0"/>
        <w:rPr>
          <w:sz w:val="21"/>
          <w:szCs w:val="21"/>
        </w:rPr>
      </w:pPr>
      <w:r>
        <w:rPr>
          <w:sz w:val="21"/>
          <w:szCs w:val="21"/>
        </w:rPr>
        <w:t>Adjudicar e firmar o contrato nas condições ofertadas pelos licitantes ou fornecedores remanescentes, atendida a ordem classificatória, quando frustrada a negociação de melhor condição.</w:t>
      </w:r>
    </w:p>
    <w:p>
      <w:pPr>
        <w:pStyle w:val="Nivel2"/>
        <w:numPr>
          <w:ilvl w:val="1"/>
          <w:numId w:val="1"/>
        </w:numPr>
        <w:tabs>
          <w:tab w:val="left" w:pos="0" w:leader="none"/>
          <w:tab w:val="left" w:pos="426" w:leader="none"/>
        </w:tabs>
        <w:ind w:left="0" w:hanging="0"/>
        <w:rPr>
          <w:sz w:val="21"/>
          <w:szCs w:val="21"/>
        </w:rPr>
      </w:pPr>
      <w:r>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right="0" w:hanging="0"/>
        <w:rPr/>
      </w:pPr>
      <w:r>
        <w:rPr>
          <w:sz w:val="21"/>
          <w:szCs w:val="21"/>
        </w:rPr>
        <w:t>ALTERAÇÃO OU ATUALIZAÇÃO DOS PREÇOS REGISTRADOS</w:t>
      </w:r>
    </w:p>
    <w:p>
      <w:pPr>
        <w:pStyle w:val="Nivel2"/>
        <w:numPr>
          <w:ilvl w:val="1"/>
          <w:numId w:val="1"/>
        </w:numPr>
        <w:tabs>
          <w:tab w:val="left" w:pos="0" w:leader="none"/>
          <w:tab w:val="left" w:pos="993" w:leader="none"/>
        </w:tabs>
        <w:ind w:left="0" w:hanging="0"/>
        <w:rPr/>
      </w:pPr>
      <w:r>
        <w:rPr>
          <w:sz w:val="21"/>
          <w:szCs w:val="21"/>
        </w:rPr>
        <w:t>Os preços registrados poderão ser alterados ou atualizados em decorrência de eventual redução dos preços pra</w:t>
      </w:r>
      <w:r>
        <w:rPr>
          <w:rFonts w:eastAsia="Calibri"/>
          <w:sz w:val="21"/>
          <w:szCs w:val="21"/>
        </w:rPr>
        <w:t>ti</w:t>
      </w:r>
      <w:r>
        <w:rPr>
          <w:sz w:val="21"/>
          <w:szCs w:val="21"/>
        </w:rPr>
        <w:t>cados no mercado ou de fato que eleve o custo dos bens, das obras ou dos serviços registrados, nas seguintes situações:</w:t>
      </w:r>
    </w:p>
    <w:p>
      <w:pPr>
        <w:pStyle w:val="Nvel3"/>
        <w:numPr>
          <w:ilvl w:val="2"/>
          <w:numId w:val="1"/>
        </w:numPr>
        <w:tabs>
          <w:tab w:val="left" w:pos="0" w:leader="none"/>
          <w:tab w:val="left" w:pos="1276" w:leader="none"/>
        </w:tabs>
        <w:ind w:left="0" w:hanging="0"/>
        <w:rPr/>
      </w:pPr>
      <w:r>
        <w:rPr>
          <w:sz w:val="21"/>
          <w:szCs w:val="21"/>
        </w:rPr>
        <w:t>E</w:t>
      </w:r>
      <w:commentRangeStart w:id="45"/>
      <w:r>
        <w:rPr>
          <w:sz w:val="21"/>
          <w:szCs w:val="21"/>
        </w:rPr>
        <w:t>m caso de força maior, caso fortuito ou fato do príncipe ou em decorrência de fatos imprevisíveis ou previsíveis de consequências incalculáveis, que inviabilizem a execução da ata tal como p</w:t>
      </w:r>
      <w:r>
        <w:rPr>
          <w:color w:val="000000"/>
          <w:sz w:val="21"/>
          <w:szCs w:val="21"/>
        </w:rPr>
        <w:t>actuada, nos termos da alínea “d” do inciso II do caput do art. 124 da Lei nº 14.133, de 2021</w:t>
      </w:r>
      <w:r>
        <w:rPr>
          <w:color w:val="000000"/>
          <w:sz w:val="21"/>
          <w:szCs w:val="21"/>
        </w:rPr>
      </w:r>
      <w:commentRangeEnd w:id="45"/>
      <w:r>
        <w:commentReference w:id="45"/>
      </w:r>
      <w:r>
        <w:rPr>
          <w:color w:val="0000EF"/>
          <w:sz w:val="21"/>
          <w:szCs w:val="21"/>
        </w:rPr>
        <w:t>;</w:t>
      </w:r>
    </w:p>
    <w:p>
      <w:pPr>
        <w:pStyle w:val="Nvel3"/>
        <w:numPr>
          <w:ilvl w:val="2"/>
          <w:numId w:val="1"/>
        </w:numPr>
        <w:tabs>
          <w:tab w:val="left" w:pos="0" w:leader="none"/>
          <w:tab w:val="left" w:pos="1276" w:leader="none"/>
        </w:tabs>
        <w:ind w:left="0" w:hanging="0"/>
        <w:rPr/>
      </w:pPr>
      <w:r>
        <w:rPr>
          <w:sz w:val="21"/>
          <w:szCs w:val="21"/>
        </w:rPr>
        <w:t>Em caso de criação, alteração ou ex</w:t>
      </w:r>
      <w:r>
        <w:rPr>
          <w:rFonts w:eastAsia="Calibri"/>
          <w:sz w:val="21"/>
          <w:szCs w:val="21"/>
        </w:rPr>
        <w:t>ti</w:t>
      </w:r>
      <w:r>
        <w:rPr>
          <w:sz w:val="21"/>
          <w:szCs w:val="21"/>
        </w:rPr>
        <w:t xml:space="preserve">nção de quaisquer tributos ou encargos legais ou a superveniência de disposições legais, com comprovada repercussão sobre os preços registrados; </w:t>
      </w:r>
    </w:p>
    <w:p>
      <w:pPr>
        <w:pStyle w:val="Nvel3"/>
        <w:numPr>
          <w:ilvl w:val="2"/>
          <w:numId w:val="1"/>
        </w:numPr>
        <w:tabs>
          <w:tab w:val="left" w:pos="0" w:leader="none"/>
          <w:tab w:val="left" w:pos="1276" w:leader="none"/>
        </w:tabs>
        <w:ind w:left="0" w:hanging="0"/>
        <w:rPr>
          <w:sz w:val="21"/>
          <w:szCs w:val="21"/>
        </w:rPr>
      </w:pPr>
      <w:r>
        <w:rPr>
          <w:sz w:val="21"/>
          <w:szCs w:val="21"/>
        </w:rPr>
        <w:t>Na hipótese de previsão no edital ou no aviso de contratação direta de cláusula de reajustamento ou repactuação sobre os preços registrados, nos termos da Lei nº 14.133, de 2021.</w:t>
      </w:r>
    </w:p>
    <w:p>
      <w:pPr>
        <w:pStyle w:val="Nvel4"/>
        <w:numPr>
          <w:ilvl w:val="3"/>
          <w:numId w:val="1"/>
        </w:numPr>
        <w:tabs>
          <w:tab w:val="clear" w:pos="708"/>
          <w:tab w:val="left" w:pos="0" w:leader="none"/>
        </w:tabs>
        <w:ind w:left="0" w:hanging="0"/>
        <w:rPr>
          <w:sz w:val="21"/>
          <w:szCs w:val="21"/>
        </w:rPr>
      </w:pPr>
      <w:r>
        <w:rPr>
          <w:sz w:val="21"/>
          <w:szCs w:val="21"/>
        </w:rPr>
        <w:t xml:space="preserve">No caso do reajustamento, deverá ser respeitada a contagem da anualidade e o índice previsto para a contratação;  </w:t>
      </w:r>
    </w:p>
    <w:p>
      <w:pPr>
        <w:pStyle w:val="Nvel4"/>
        <w:numPr>
          <w:ilvl w:val="3"/>
          <w:numId w:val="1"/>
        </w:numPr>
        <w:tabs>
          <w:tab w:val="clear" w:pos="708"/>
          <w:tab w:val="left" w:pos="-142" w:leader="none"/>
        </w:tabs>
        <w:ind w:left="0" w:hanging="0"/>
        <w:rPr/>
      </w:pPr>
      <w:commentRangeStart w:id="46"/>
      <w:r>
        <w:rPr>
          <w:sz w:val="21"/>
          <w:szCs w:val="21"/>
        </w:rPr>
        <w:t>Os preços contratados serão reajustáveis a partir de 12 (doze) meses da data do orçamento estimado nos termos do art. 25, § 7° da Lei n.° 14.133/2021 com base no IPCA/FGV (ou em sua falta, o índice que vier a substituí-lo) ou, ainda, em índice mais favorável para a Administração Pública mediante negociação.</w:t>
      </w:r>
      <w:commentRangeEnd w:id="46"/>
      <w:r>
        <w:commentReference w:id="46"/>
      </w:r>
      <w:r>
        <w:rPr>
          <w:sz w:val="21"/>
          <w:szCs w:val="21"/>
        </w:rPr>
      </w:r>
    </w:p>
    <w:p>
      <w:pPr>
        <w:pStyle w:val="Nvel4"/>
        <w:numPr>
          <w:ilvl w:val="3"/>
          <w:numId w:val="1"/>
        </w:numPr>
        <w:tabs>
          <w:tab w:val="clear" w:pos="708"/>
          <w:tab w:val="left" w:pos="-142" w:leader="none"/>
        </w:tabs>
        <w:ind w:left="0" w:hanging="0"/>
        <w:rPr>
          <w:sz w:val="21"/>
          <w:szCs w:val="21"/>
        </w:rPr>
      </w:pPr>
      <w:r>
        <w:rPr>
          <w:sz w:val="21"/>
          <w:szCs w:val="21"/>
        </w:rPr>
        <w:t>No caso da repactuação, poderá ser a pedido do interessado, conforme critérios definidos para a contratação.</w:t>
      </w:r>
    </w:p>
    <w:p>
      <w:pPr>
        <w:pStyle w:val="Nivel01"/>
        <w:numPr>
          <w:ilvl w:val="0"/>
          <w:numId w:val="1"/>
        </w:numPr>
        <w:ind w:left="0" w:right="0" w:hanging="0"/>
        <w:rPr>
          <w:shd w:fill="FFFFFF" w:val="clear"/>
        </w:rPr>
      </w:pPr>
      <w:r>
        <w:rPr>
          <w:sz w:val="21"/>
          <w:szCs w:val="21"/>
          <w:shd w:fill="FFFFFF" w:val="clear"/>
        </w:rPr>
        <w:t>NEGOCIAÇÃO DE PREÇOS REGISTRADOS</w:t>
      </w:r>
    </w:p>
    <w:p>
      <w:pPr>
        <w:pStyle w:val="Nivel2"/>
        <w:numPr>
          <w:ilvl w:val="1"/>
          <w:numId w:val="1"/>
        </w:numPr>
        <w:tabs>
          <w:tab w:val="left" w:pos="0" w:leader="none"/>
          <w:tab w:val="left" w:pos="993" w:leader="none"/>
        </w:tabs>
        <w:ind w:left="0" w:hanging="0"/>
        <w:rPr/>
      </w:pPr>
      <w:r>
        <w:rPr>
          <w:sz w:val="21"/>
          <w:szCs w:val="21"/>
        </w:rPr>
        <w:t>Na hipótese de o preço registrado tornar-se superior ao preço pra</w:t>
      </w:r>
      <w:r>
        <w:rPr>
          <w:rFonts w:eastAsia="Calibri"/>
          <w:sz w:val="21"/>
          <w:szCs w:val="21"/>
        </w:rPr>
        <w:t>ti</w:t>
      </w:r>
      <w:r>
        <w:rPr>
          <w:sz w:val="21"/>
          <w:szCs w:val="21"/>
        </w:rPr>
        <w:t>cado no mercado por mo</w:t>
      </w:r>
      <w:r>
        <w:rPr>
          <w:rFonts w:eastAsia="Calibri"/>
          <w:sz w:val="21"/>
          <w:szCs w:val="21"/>
        </w:rPr>
        <w:t>ti</w:t>
      </w:r>
      <w:r>
        <w:rPr>
          <w:sz w:val="21"/>
          <w:szCs w:val="21"/>
        </w:rPr>
        <w:t>vo superveniente, o Município ora convocará o fornecedor para negociar a redução do preço registrado.</w:t>
      </w:r>
    </w:p>
    <w:p>
      <w:pPr>
        <w:pStyle w:val="Nvel3"/>
        <w:numPr>
          <w:ilvl w:val="2"/>
          <w:numId w:val="1"/>
        </w:numPr>
        <w:tabs>
          <w:tab w:val="left" w:pos="0" w:leader="none"/>
          <w:tab w:val="left" w:pos="1276" w:leader="none"/>
        </w:tabs>
        <w:ind w:left="0" w:hanging="0"/>
        <w:rPr/>
      </w:pPr>
      <w:r>
        <w:rPr>
          <w:sz w:val="21"/>
          <w:szCs w:val="21"/>
        </w:rPr>
        <w:t>Caso não aceite reduzir seu preço aos valores pra</w:t>
      </w:r>
      <w:r>
        <w:rPr>
          <w:rFonts w:eastAsia="Calibri"/>
          <w:sz w:val="21"/>
          <w:szCs w:val="21"/>
        </w:rPr>
        <w:t>ti</w:t>
      </w:r>
      <w:r>
        <w:rPr>
          <w:sz w:val="21"/>
          <w:szCs w:val="21"/>
        </w:rPr>
        <w:t>cados pelo mercado, o fornecedor será liberado do compromisso assumido quanto ao item registrado, sem aplicação de penalidades administrativas.</w:t>
      </w:r>
    </w:p>
    <w:p>
      <w:pPr>
        <w:pStyle w:val="Nvel3"/>
        <w:numPr>
          <w:ilvl w:val="2"/>
          <w:numId w:val="1"/>
        </w:numPr>
        <w:tabs>
          <w:tab w:val="left" w:pos="0" w:leader="none"/>
          <w:tab w:val="left" w:pos="1276" w:leader="none"/>
        </w:tabs>
        <w:ind w:left="0" w:hanging="0"/>
        <w:rPr/>
      </w:pPr>
      <w:r>
        <w:rPr>
          <w:sz w:val="21"/>
          <w:szCs w:val="21"/>
        </w:rPr>
        <w:t>Na hipótese prevista no item anterior, o Município convocará os fornecedores do cadastro de reserva, na ordem de classificação, para verificar se aceitam reduzir seus preços aos valores de mercado e não convocará o</w:t>
      </w:r>
      <w:commentRangeStart w:id="47"/>
      <w:r>
        <w:rPr>
          <w:sz w:val="21"/>
          <w:szCs w:val="21"/>
        </w:rPr>
        <w:t>s licitantes ou fornecedores que tiveram seu registro cancelado.</w:t>
      </w:r>
      <w:commentRangeEnd w:id="47"/>
      <w:r>
        <w:commentReference w:id="47"/>
      </w:r>
      <w:r>
        <w:rPr>
          <w:sz w:val="21"/>
          <w:szCs w:val="21"/>
        </w:rPr>
      </w:r>
    </w:p>
    <w:p>
      <w:pPr>
        <w:pStyle w:val="Nvel3"/>
        <w:numPr>
          <w:ilvl w:val="2"/>
          <w:numId w:val="1"/>
        </w:numPr>
        <w:tabs>
          <w:tab w:val="left" w:pos="0" w:leader="none"/>
          <w:tab w:val="left" w:pos="1276" w:leader="none"/>
        </w:tabs>
        <w:ind w:left="0" w:hanging="0"/>
        <w:rPr>
          <w:sz w:val="21"/>
          <w:szCs w:val="21"/>
        </w:rPr>
      </w:pPr>
      <w:r>
        <w:rPr>
          <w:sz w:val="21"/>
          <w:szCs w:val="21"/>
        </w:rPr>
        <w:t>Se não obtiver êxito nas negociações, o Município procederá ao cancelamento da ata de registro de preços, adotando as medidas cabíveis para obtenção de contratação mais vantajosa.</w:t>
      </w:r>
      <w:bookmarkStart w:id="66" w:name="reducao_preco_mercado_negociacao_frustra"/>
      <w:bookmarkEnd w:id="66"/>
    </w:p>
    <w:p>
      <w:pPr>
        <w:pStyle w:val="Nivel2"/>
        <w:numPr>
          <w:ilvl w:val="1"/>
          <w:numId w:val="1"/>
        </w:numPr>
        <w:tabs>
          <w:tab w:val="left" w:pos="0" w:leader="none"/>
          <w:tab w:val="left" w:pos="993" w:leader="none"/>
        </w:tabs>
        <w:ind w:left="0" w:hanging="0"/>
        <w:rPr>
          <w:sz w:val="21"/>
          <w:szCs w:val="21"/>
        </w:rPr>
      </w:pPr>
      <w:r>
        <w:rPr>
          <w:sz w:val="21"/>
          <w:szCs w:val="21"/>
        </w:rPr>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7" w:name="hipotese_preco_mercado_maior"/>
      <w:bookmarkEnd w:id="67"/>
    </w:p>
    <w:p>
      <w:pPr>
        <w:pStyle w:val="Nvel3"/>
        <w:numPr>
          <w:ilvl w:val="2"/>
          <w:numId w:val="1"/>
        </w:numPr>
        <w:tabs>
          <w:tab w:val="left" w:pos="-142" w:leader="none"/>
          <w:tab w:val="left" w:pos="0" w:leader="none"/>
        </w:tabs>
        <w:ind w:left="0" w:hanging="0"/>
        <w:rPr>
          <w:sz w:val="21"/>
          <w:szCs w:val="21"/>
        </w:rPr>
      </w:pPr>
      <w:r>
        <w:rPr>
          <w:sz w:val="21"/>
          <w:szCs w:val="21"/>
        </w:rPr>
        <w:t>Neste caso, o fornecedor encaminhará, juntamente com o pedido de alteração, a documentação comprobatória ou a planilha de custos que demonstre a inviabilidade do preço registrado em relação às condições inicialmente pactuadas.</w:t>
      </w:r>
      <w:bookmarkStart w:id="68" w:name="prova_preco_mercado_maior"/>
      <w:bookmarkEnd w:id="68"/>
    </w:p>
    <w:p>
      <w:pPr>
        <w:pStyle w:val="Nvel3"/>
        <w:numPr>
          <w:ilvl w:val="2"/>
          <w:numId w:val="1"/>
        </w:numPr>
        <w:tabs>
          <w:tab w:val="left" w:pos="-142" w:leader="none"/>
          <w:tab w:val="left" w:pos="0" w:leader="none"/>
        </w:tabs>
        <w:ind w:left="0" w:hanging="0"/>
        <w:rPr>
          <w:sz w:val="21"/>
          <w:szCs w:val="21"/>
        </w:rPr>
      </w:pPr>
      <w:r>
        <w:rPr>
          <w:sz w:val="21"/>
          <w:szCs w:val="21"/>
        </w:rPr>
        <w:t>Não hipótese de não comprovação da existência de fato superveniente que inviabilize o preço registrado, o pedido será indeferido pelo Município e o fornecedor deverá cumprir as obrigações estabelecidas na ata, sob pena de cancelamento do seu registro, nos termos do item 7.1, sem prejuízo das sanções previstas na Lei nº 14.133, de 2021, e na legislação aplicável.</w:t>
      </w:r>
      <w:bookmarkStart w:id="69" w:name="nao_comprovacao_majoracao_mercado"/>
      <w:bookmarkEnd w:id="69"/>
    </w:p>
    <w:p>
      <w:pPr>
        <w:pStyle w:val="Nvel3"/>
        <w:numPr>
          <w:ilvl w:val="2"/>
          <w:numId w:val="1"/>
        </w:numPr>
        <w:tabs>
          <w:tab w:val="left" w:pos="-142" w:leader="none"/>
          <w:tab w:val="left" w:pos="0" w:leader="none"/>
        </w:tabs>
        <w:ind w:left="0" w:hanging="0"/>
        <w:rPr>
          <w:sz w:val="21"/>
          <w:szCs w:val="21"/>
        </w:rPr>
      </w:pPr>
      <w:r>
        <w:rPr>
          <w:sz w:val="21"/>
          <w:szCs w:val="21"/>
        </w:rPr>
        <w:t>Na hipótese de cancelamento do registro do fornecedor, nos termos do item anterior, o Município convocará os fornecedores do cadastro de reserva, na ordem de classificação, para verificar se aceitam manter seus preços registrados, observado o disposto no item 4.7.</w:t>
      </w:r>
    </w:p>
    <w:p>
      <w:pPr>
        <w:pStyle w:val="Nvel3"/>
        <w:numPr>
          <w:ilvl w:val="2"/>
          <w:numId w:val="1"/>
        </w:numPr>
        <w:tabs>
          <w:tab w:val="left" w:pos="-142" w:leader="none"/>
          <w:tab w:val="left" w:pos="0" w:leader="none"/>
        </w:tabs>
        <w:ind w:left="0" w:hanging="0"/>
        <w:rPr/>
      </w:pPr>
      <w:r>
        <w:rPr>
          <w:sz w:val="21"/>
          <w:szCs w:val="21"/>
        </w:rPr>
        <w:t>Se não obtiver</w:t>
      </w:r>
      <w:r>
        <w:rPr>
          <w:sz w:val="21"/>
          <w:szCs w:val="21"/>
          <w:shd w:fill="FFFFFF" w:val="clear"/>
        </w:rPr>
        <w:t xml:space="preserve"> êxito nas negociações, o Município procederá o cancelamento da ata de registro de preços, nos termos do item </w:t>
      </w:r>
      <w:r>
        <w:rPr>
          <w:sz w:val="21"/>
          <w:szCs w:val="21"/>
          <w:shd w:fill="FFFFFF" w:val="clear"/>
        </w:rPr>
        <w:fldChar w:fldCharType="begin"/>
      </w:r>
      <w:r>
        <w:rPr>
          <w:sz w:val="21"/>
          <w:shd w:fill="FFFFFF" w:val="clear"/>
          <w:szCs w:val="21"/>
        </w:rPr>
        <w:instrText> REF cancelamento_da_ata \r \h </w:instrText>
      </w:r>
      <w:r>
        <w:rPr>
          <w:sz w:val="21"/>
          <w:shd w:fill="FFFFFF" w:val="clear"/>
          <w:szCs w:val="21"/>
        </w:rPr>
        <w:fldChar w:fldCharType="separate"/>
      </w:r>
      <w:r>
        <w:rPr>
          <w:sz w:val="21"/>
          <w:shd w:fill="FFFFFF" w:val="clear"/>
          <w:szCs w:val="21"/>
        </w:rPr>
        <w:t>7.4.</w:t>
      </w:r>
      <w:r>
        <w:rPr>
          <w:sz w:val="21"/>
          <w:shd w:fill="FFFFFF" w:val="clear"/>
          <w:szCs w:val="21"/>
        </w:rPr>
        <w:fldChar w:fldCharType="end"/>
      </w:r>
      <w:r>
        <w:rPr>
          <w:sz w:val="21"/>
          <w:szCs w:val="21"/>
          <w:shd w:fill="FFFFFF" w:val="clear"/>
        </w:rPr>
        <w:t>, e adotará as medidas cabíveis para a obtenção da contratação mais vantajosa.</w:t>
      </w:r>
    </w:p>
    <w:p>
      <w:pPr>
        <w:pStyle w:val="Nvel3"/>
        <w:numPr>
          <w:ilvl w:val="2"/>
          <w:numId w:val="1"/>
        </w:numPr>
        <w:tabs>
          <w:tab w:val="left" w:pos="-142" w:leader="none"/>
          <w:tab w:val="left" w:pos="0" w:leader="none"/>
        </w:tabs>
        <w:ind w:left="0" w:hanging="0"/>
        <w:rPr>
          <w:shd w:fill="FFFFFF" w:val="clear"/>
        </w:rPr>
      </w:pPr>
      <w:r>
        <w:rPr>
          <w:sz w:val="21"/>
          <w:szCs w:val="21"/>
          <w:shd w:fill="FFFFFF" w:val="clear"/>
        </w:rPr>
        <w:t xml:space="preserve">Na hipótese de comprovação da majoração do preço de mercado que inviabilize o preço registrado, conforme previsto no item </w:t>
      </w:r>
      <w:r>
        <w:rPr>
          <w:sz w:val="21"/>
          <w:szCs w:val="21"/>
          <w:shd w:fill="FFFFFF" w:val="clear"/>
        </w:rPr>
        <w:fldChar w:fldCharType="begin"/>
      </w:r>
      <w:r>
        <w:rPr>
          <w:sz w:val="21"/>
          <w:shd w:fill="FFFFFF" w:val="clear"/>
          <w:szCs w:val="21"/>
        </w:rPr>
        <w:instrText> REF hipotese_preco_mercado_maior \r \h </w:instrText>
      </w:r>
      <w:r>
        <w:rPr>
          <w:sz w:val="21"/>
          <w:shd w:fill="FFFFFF" w:val="clear"/>
          <w:szCs w:val="21"/>
        </w:rPr>
        <w:fldChar w:fldCharType="separate"/>
      </w:r>
      <w:r>
        <w:rPr>
          <w:sz w:val="21"/>
          <w:shd w:fill="FFFFFF" w:val="clear"/>
          <w:szCs w:val="21"/>
        </w:rPr>
        <w:t>6.2.</w:t>
      </w:r>
      <w:r>
        <w:rPr>
          <w:sz w:val="21"/>
          <w:shd w:fill="FFFFFF" w:val="clear"/>
          <w:szCs w:val="21"/>
        </w:rPr>
        <w:fldChar w:fldCharType="end"/>
      </w:r>
      <w:r>
        <w:rPr>
          <w:sz w:val="21"/>
          <w:szCs w:val="21"/>
          <w:shd w:fill="FFFFFF" w:val="clear"/>
        </w:rPr>
        <w:t xml:space="preserve"> e no item </w:t>
      </w:r>
      <w:r>
        <w:rPr>
          <w:sz w:val="21"/>
          <w:szCs w:val="21"/>
          <w:shd w:fill="FFFFFF" w:val="clear"/>
        </w:rPr>
        <w:fldChar w:fldCharType="begin"/>
      </w:r>
      <w:r>
        <w:rPr>
          <w:sz w:val="21"/>
          <w:shd w:fill="FFFFFF" w:val="clear"/>
          <w:szCs w:val="21"/>
        </w:rPr>
        <w:instrText> REF prova_preco_mercado_maior \r \h </w:instrText>
      </w:r>
      <w:r>
        <w:rPr>
          <w:sz w:val="21"/>
          <w:shd w:fill="FFFFFF" w:val="clear"/>
          <w:szCs w:val="21"/>
        </w:rPr>
        <w:fldChar w:fldCharType="separate"/>
      </w:r>
      <w:r>
        <w:rPr>
          <w:sz w:val="21"/>
          <w:shd w:fill="FFFFFF" w:val="clear"/>
          <w:szCs w:val="21"/>
        </w:rPr>
        <w:t>6.2.1.</w:t>
      </w:r>
      <w:r>
        <w:rPr>
          <w:sz w:val="21"/>
          <w:shd w:fill="FFFFFF" w:val="clear"/>
          <w:szCs w:val="21"/>
        </w:rPr>
        <w:fldChar w:fldCharType="end"/>
      </w:r>
      <w:r>
        <w:rPr>
          <w:sz w:val="21"/>
          <w:szCs w:val="21"/>
          <w:shd w:fill="FFFFFF" w:val="clear"/>
        </w:rPr>
        <w:t>, o Município atualizará o preço registrado, de acordo com a realidade dos valores praticados pelo mercado.</w:t>
      </w:r>
    </w:p>
    <w:p>
      <w:pPr>
        <w:pStyle w:val="Nivel01"/>
        <w:numPr>
          <w:ilvl w:val="0"/>
          <w:numId w:val="1"/>
        </w:numPr>
        <w:tabs>
          <w:tab w:val="clear" w:pos="708"/>
          <w:tab w:val="left" w:pos="0" w:leader="none"/>
          <w:tab w:val="left" w:pos="284" w:leader="none"/>
        </w:tabs>
        <w:ind w:left="0" w:right="0" w:hanging="0"/>
        <w:rPr>
          <w:sz w:val="21"/>
          <w:szCs w:val="21"/>
        </w:rPr>
      </w:pPr>
      <w:r>
        <w:rPr>
          <w:sz w:val="21"/>
          <w:szCs w:val="21"/>
          <w:shd w:fill="FFFFFF" w:val="clear"/>
        </w:rPr>
        <w:t>CANCELAMENTO DO REGISTRO DO LICITANTE VEN</w:t>
      </w:r>
      <w:r>
        <w:rPr>
          <w:sz w:val="21"/>
          <w:szCs w:val="21"/>
        </w:rPr>
        <w:t>CEDOR E DOS PREÇOS REGISTRADOS</w:t>
      </w:r>
      <w:bookmarkStart w:id="70" w:name="cancelamento"/>
      <w:bookmarkEnd w:id="70"/>
    </w:p>
    <w:p>
      <w:pPr>
        <w:pStyle w:val="Nivel2"/>
        <w:numPr>
          <w:ilvl w:val="1"/>
          <w:numId w:val="1"/>
        </w:numPr>
        <w:tabs>
          <w:tab w:val="left" w:pos="0" w:leader="none"/>
          <w:tab w:val="left" w:pos="426" w:leader="none"/>
        </w:tabs>
        <w:ind w:left="0" w:hanging="0"/>
        <w:rPr>
          <w:sz w:val="21"/>
          <w:szCs w:val="21"/>
        </w:rPr>
      </w:pPr>
      <w:r>
        <w:rPr>
          <w:sz w:val="21"/>
          <w:szCs w:val="21"/>
        </w:rPr>
        <w:t>O registro do fornecedor será cancelado pelo Município, quando o fornecedor:</w:t>
      </w:r>
      <w:bookmarkStart w:id="71" w:name="cancelamento_do_fornecedor"/>
      <w:bookmarkEnd w:id="71"/>
    </w:p>
    <w:p>
      <w:pPr>
        <w:pStyle w:val="Nvel3"/>
        <w:numPr>
          <w:ilvl w:val="2"/>
          <w:numId w:val="1"/>
        </w:numPr>
        <w:tabs>
          <w:tab w:val="left" w:pos="0" w:leader="none"/>
          <w:tab w:val="left" w:pos="709" w:leader="none"/>
        </w:tabs>
        <w:ind w:left="0" w:hanging="0"/>
        <w:rPr>
          <w:sz w:val="21"/>
          <w:szCs w:val="21"/>
        </w:rPr>
      </w:pPr>
      <w:r>
        <w:rPr>
          <w:sz w:val="21"/>
          <w:szCs w:val="21"/>
        </w:rPr>
        <w:t>Descumprir as condições da ata de registro de preços, sem motivo justificado;</w:t>
      </w:r>
    </w:p>
    <w:p>
      <w:pPr>
        <w:pStyle w:val="Nvel3"/>
        <w:numPr>
          <w:ilvl w:val="2"/>
          <w:numId w:val="1"/>
        </w:numPr>
        <w:tabs>
          <w:tab w:val="left" w:pos="0" w:leader="none"/>
          <w:tab w:val="left" w:pos="709" w:leader="none"/>
        </w:tabs>
        <w:ind w:left="0" w:hanging="0"/>
        <w:rPr/>
      </w:pPr>
      <w:r>
        <w:rPr>
          <w:sz w:val="21"/>
          <w:szCs w:val="21"/>
        </w:rPr>
        <w:t>Não re</w:t>
      </w:r>
      <w:r>
        <w:rPr>
          <w:rFonts w:eastAsia="Arial"/>
          <w:sz w:val="21"/>
          <w:szCs w:val="21"/>
        </w:rPr>
        <w:t>ti</w:t>
      </w:r>
      <w:r>
        <w:rPr>
          <w:sz w:val="21"/>
          <w:szCs w:val="21"/>
        </w:rPr>
        <w:t>rar a nota de empenho, ou instrumento equivalente, no prazo estabelecido pela Administração sem justificativa razoável;</w:t>
      </w:r>
    </w:p>
    <w:p>
      <w:pPr>
        <w:pStyle w:val="Nvel3"/>
        <w:numPr>
          <w:ilvl w:val="2"/>
          <w:numId w:val="1"/>
        </w:numPr>
        <w:tabs>
          <w:tab w:val="left" w:pos="0" w:leader="none"/>
          <w:tab w:val="left" w:pos="709" w:leader="none"/>
        </w:tabs>
        <w:ind w:left="0" w:hanging="0"/>
        <w:rPr>
          <w:sz w:val="21"/>
          <w:szCs w:val="21"/>
        </w:rPr>
      </w:pPr>
      <w:r>
        <w:rPr>
          <w:sz w:val="21"/>
          <w:szCs w:val="21"/>
        </w:rPr>
        <w:t>Não aceitar manter seu preço registrado, na hipótese prevista no artigo 27, § 2º, do Decreto nº 11.462, de 2023; ou</w:t>
      </w:r>
    </w:p>
    <w:p>
      <w:pPr>
        <w:pStyle w:val="Nvel3"/>
        <w:numPr>
          <w:ilvl w:val="2"/>
          <w:numId w:val="1"/>
        </w:numPr>
        <w:tabs>
          <w:tab w:val="left" w:pos="0" w:leader="none"/>
          <w:tab w:val="left" w:pos="709" w:leader="none"/>
        </w:tabs>
        <w:ind w:left="0" w:hanging="0"/>
        <w:rPr>
          <w:sz w:val="21"/>
          <w:szCs w:val="21"/>
        </w:rPr>
      </w:pPr>
      <w:r>
        <w:rPr>
          <w:sz w:val="21"/>
          <w:szCs w:val="21"/>
        </w:rPr>
        <w:t>Sofrer sanção prevista nos incisos III ou IV do caput do art. 156 da Lei nº 14.133, de 2021.</w:t>
      </w:r>
    </w:p>
    <w:p>
      <w:pPr>
        <w:pStyle w:val="Nvel4"/>
        <w:numPr>
          <w:ilvl w:val="3"/>
          <w:numId w:val="1"/>
        </w:numPr>
        <w:tabs>
          <w:tab w:val="clear" w:pos="708"/>
          <w:tab w:val="left" w:pos="851" w:leader="none"/>
        </w:tabs>
        <w:ind w:left="0" w:hanging="0"/>
        <w:rPr>
          <w:sz w:val="21"/>
          <w:szCs w:val="21"/>
        </w:rPr>
      </w:pPr>
      <w:r>
        <w:rPr>
          <w:sz w:val="21"/>
          <w:szCs w:val="21"/>
        </w:rPr>
        <w:t>Na hipótese de aplicação de sanção prevista nos incisos III ou IV do caput do art. 156 da Lei nº 14.133, de 2021, c</w:t>
      </w:r>
      <w:r>
        <w:rPr>
          <w:sz w:val="21"/>
          <w:szCs w:val="21"/>
          <w:shd w:fill="FFFFFF" w:val="clear"/>
        </w:rPr>
        <w:t>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pPr>
        <w:pStyle w:val="Nivel2"/>
        <w:numPr>
          <w:ilvl w:val="1"/>
          <w:numId w:val="1"/>
        </w:numPr>
        <w:tabs>
          <w:tab w:val="left" w:pos="0" w:leader="none"/>
          <w:tab w:val="left" w:pos="426" w:leader="none"/>
        </w:tabs>
        <w:ind w:left="0" w:hanging="0"/>
        <w:rPr>
          <w:shd w:fill="FFFFFF" w:val="clear"/>
        </w:rPr>
      </w:pPr>
      <w:r>
        <w:rPr>
          <w:sz w:val="21"/>
          <w:szCs w:val="21"/>
          <w:shd w:fill="FFFFFF" w:val="clear"/>
        </w:rPr>
        <w:t xml:space="preserve">O cancelamento de registros nas hipóteses previstas no item </w:t>
      </w:r>
      <w:r>
        <w:rPr>
          <w:sz w:val="21"/>
          <w:szCs w:val="21"/>
          <w:shd w:fill="FFFFFF" w:val="clear"/>
        </w:rPr>
        <w:fldChar w:fldCharType="begin"/>
      </w:r>
      <w:r>
        <w:rPr>
          <w:sz w:val="21"/>
          <w:shd w:fill="FFFFFF" w:val="clear"/>
          <w:szCs w:val="21"/>
        </w:rPr>
        <w:instrText> REF cancelamento_do_fornecedor \r \h </w:instrText>
      </w:r>
      <w:r>
        <w:rPr>
          <w:sz w:val="21"/>
          <w:shd w:fill="FFFFFF" w:val="clear"/>
          <w:szCs w:val="21"/>
        </w:rPr>
        <w:fldChar w:fldCharType="separate"/>
      </w:r>
      <w:r>
        <w:rPr>
          <w:sz w:val="21"/>
          <w:shd w:fill="FFFFFF" w:val="clear"/>
          <w:szCs w:val="21"/>
        </w:rPr>
        <w:t>7.1.</w:t>
      </w:r>
      <w:r>
        <w:rPr>
          <w:sz w:val="21"/>
          <w:shd w:fill="FFFFFF" w:val="clear"/>
          <w:szCs w:val="21"/>
        </w:rPr>
        <w:fldChar w:fldCharType="end"/>
      </w:r>
      <w:r>
        <w:rPr>
          <w:sz w:val="21"/>
          <w:szCs w:val="21"/>
          <w:shd w:fill="FFFFFF" w:val="clear"/>
        </w:rPr>
        <w:t xml:space="preserve"> será formalizado por despacho do Município, garantidos os princípios do contraditório e da ampla defesa.</w:t>
      </w:r>
    </w:p>
    <w:p>
      <w:pPr>
        <w:pStyle w:val="Nivel2"/>
        <w:numPr>
          <w:ilvl w:val="1"/>
          <w:numId w:val="1"/>
        </w:numPr>
        <w:tabs>
          <w:tab w:val="left" w:pos="0" w:leader="none"/>
          <w:tab w:val="left" w:pos="567" w:leader="none"/>
        </w:tabs>
        <w:ind w:left="0" w:hanging="0"/>
        <w:rPr>
          <w:sz w:val="21"/>
          <w:szCs w:val="21"/>
        </w:rPr>
      </w:pPr>
      <w:r>
        <w:rPr>
          <w:sz w:val="21"/>
          <w:szCs w:val="21"/>
          <w:shd w:fill="FFFFFF" w:val="clear"/>
        </w:rPr>
        <w:t>Na hipótese de cancelamento do registro do fornecedor, o Município poderá convocar os licitantes que compõem o cadastro de reserva, o</w:t>
      </w:r>
      <w:r>
        <w:rPr>
          <w:sz w:val="21"/>
          <w:szCs w:val="21"/>
        </w:rPr>
        <w:t>bservada a ordem de classificação.</w:t>
      </w:r>
    </w:p>
    <w:p>
      <w:pPr>
        <w:pStyle w:val="Nivel2"/>
        <w:numPr>
          <w:ilvl w:val="1"/>
          <w:numId w:val="1"/>
        </w:numPr>
        <w:tabs>
          <w:tab w:val="left" w:pos="0" w:leader="none"/>
          <w:tab w:val="left" w:pos="426" w:leader="none"/>
        </w:tabs>
        <w:ind w:left="0" w:hanging="0"/>
        <w:rPr>
          <w:sz w:val="21"/>
          <w:szCs w:val="21"/>
        </w:rPr>
      </w:pPr>
      <w:r>
        <w:rPr>
          <w:sz w:val="21"/>
          <w:szCs w:val="21"/>
        </w:rPr>
        <w:t>O cancelamento dos preços registrados poderá ser realizado pelo Município, em determinada ata de registro de preços, total ou parcialmente, nas seguintes hipóteses, desde que devidamente comprovadas e justificadas:</w:t>
      </w:r>
      <w:bookmarkStart w:id="72" w:name="cancelamento_da_ata"/>
      <w:bookmarkEnd w:id="72"/>
    </w:p>
    <w:p>
      <w:pPr>
        <w:pStyle w:val="Nvel3"/>
        <w:numPr>
          <w:ilvl w:val="2"/>
          <w:numId w:val="1"/>
        </w:numPr>
        <w:tabs>
          <w:tab w:val="left" w:pos="0" w:leader="none"/>
          <w:tab w:val="left" w:pos="709" w:leader="none"/>
        </w:tabs>
        <w:ind w:left="0" w:hanging="0"/>
        <w:rPr>
          <w:sz w:val="21"/>
          <w:szCs w:val="21"/>
        </w:rPr>
      </w:pPr>
      <w:r>
        <w:rPr>
          <w:sz w:val="21"/>
          <w:szCs w:val="21"/>
        </w:rPr>
        <w:t>Por razão de interesse público;</w:t>
      </w:r>
    </w:p>
    <w:p>
      <w:pPr>
        <w:pStyle w:val="Nvel3"/>
        <w:numPr>
          <w:ilvl w:val="2"/>
          <w:numId w:val="1"/>
        </w:numPr>
        <w:tabs>
          <w:tab w:val="left" w:pos="-142" w:leader="none"/>
          <w:tab w:val="left" w:pos="0" w:leader="none"/>
        </w:tabs>
        <w:ind w:left="0" w:hanging="0"/>
        <w:rPr>
          <w:sz w:val="21"/>
          <w:szCs w:val="21"/>
        </w:rPr>
      </w:pPr>
      <w:r>
        <w:rPr>
          <w:sz w:val="21"/>
          <w:szCs w:val="21"/>
        </w:rPr>
        <w:t>A pedido do fornecedor, decorrente de caso fortuito ou força maior; ou</w:t>
      </w:r>
    </w:p>
    <w:p>
      <w:pPr>
        <w:pStyle w:val="Nvel3"/>
        <w:numPr>
          <w:ilvl w:val="2"/>
          <w:numId w:val="1"/>
        </w:numPr>
        <w:tabs>
          <w:tab w:val="left" w:pos="0" w:leader="none"/>
          <w:tab w:val="left" w:pos="1276" w:leader="none"/>
        </w:tabs>
        <w:ind w:left="0" w:hanging="0"/>
        <w:rPr>
          <w:sz w:val="21"/>
          <w:szCs w:val="21"/>
        </w:rPr>
      </w:pPr>
      <w:r>
        <w:rPr>
          <w:sz w:val="21"/>
          <w:szCs w:val="21"/>
        </w:rPr>
        <w:t xml:space="preserve">Se não houver êxito nas negociações, nas hipóteses em que o preço de mercado tornar-se superior ou inferior ao preço registrado, nos termos dos artigos 26, § 3º e 27, § 4º, ambos do Decreto nº 11.462, de 2023. </w:t>
      </w:r>
    </w:p>
    <w:p>
      <w:pPr>
        <w:pStyle w:val="Nivel01"/>
        <w:numPr>
          <w:ilvl w:val="0"/>
          <w:numId w:val="1"/>
        </w:numPr>
        <w:ind w:left="0" w:right="0" w:hanging="0"/>
        <w:rPr/>
      </w:pPr>
      <w:r>
        <w:rPr/>
        <w:t>DO PAGAMENTO</w:t>
      </w:r>
    </w:p>
    <w:p>
      <w:pPr>
        <w:pStyle w:val="Nivel2"/>
        <w:numPr>
          <w:ilvl w:val="1"/>
          <w:numId w:val="1"/>
        </w:numPr>
        <w:tabs>
          <w:tab w:val="left" w:pos="0" w:leader="none"/>
          <w:tab w:val="left" w:pos="993" w:leader="none"/>
        </w:tabs>
        <w:ind w:left="0" w:hanging="0"/>
        <w:rPr/>
      </w:pPr>
      <w:r>
        <w:rPr>
          <w:szCs w:val="21"/>
        </w:rPr>
        <w:t xml:space="preserve">A Detentora da Ata deverá apresentar a </w:t>
      </w:r>
      <w:r>
        <w:rPr>
          <w:b/>
          <w:szCs w:val="21"/>
        </w:rPr>
        <w:t>NOTA FISCAL</w:t>
      </w:r>
      <w:r>
        <w:rPr>
          <w:szCs w:val="21"/>
        </w:rPr>
        <w:t xml:space="preserve"> através do portal do Fornecedor (</w:t>
      </w:r>
      <w:hyperlink r:id="rId28">
        <w:r>
          <w:rPr>
            <w:color w:val="000080"/>
            <w:u w:val="single"/>
          </w:rPr>
          <w:t>www.sjp.pr.gov.br/secretarias/secretaria-administracao/portal-do-fornecedor/</w:t>
        </w:r>
      </w:hyperlink>
      <w:r>
        <w:rPr/>
        <w:t>).</w:t>
      </w:r>
    </w:p>
    <w:p>
      <w:pPr>
        <w:pStyle w:val="Nivel2"/>
        <w:numPr>
          <w:ilvl w:val="1"/>
          <w:numId w:val="1"/>
        </w:numPr>
        <w:tabs>
          <w:tab w:val="left" w:pos="0" w:leader="none"/>
          <w:tab w:val="left" w:pos="993" w:leader="none"/>
        </w:tabs>
        <w:ind w:left="0" w:hanging="0"/>
        <w:rPr>
          <w:sz w:val="21"/>
          <w:szCs w:val="21"/>
        </w:rPr>
      </w:pPr>
      <w:r>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pPr>
        <w:pStyle w:val="Normal"/>
        <w:widowControl w:val="false"/>
        <w:suppressLineNumbers/>
        <w:tabs>
          <w:tab w:val="clear" w:pos="708"/>
          <w:tab w:val="left" w:pos="-142" w:leader="none"/>
          <w:tab w:val="left" w:pos="142" w:leader="none"/>
        </w:tabs>
        <w:spacing w:lineRule="auto" w:line="276" w:before="120" w:after="120"/>
        <w:ind w:left="567" w:hanging="0"/>
        <w:jc w:val="both"/>
        <w:rPr>
          <w:rFonts w:ascii="Arial" w:hAnsi="Arial" w:cs="Arial"/>
          <w:b/>
          <w:b/>
          <w:sz w:val="21"/>
          <w:szCs w:val="21"/>
        </w:rPr>
      </w:pPr>
      <w:r>
        <w:rPr>
          <w:rFonts w:cs="Arial" w:ascii="Arial" w:hAnsi="Arial"/>
          <w:b/>
          <w:sz w:val="21"/>
          <w:szCs w:val="21"/>
        </w:rPr>
        <w:t>PREFEITURA MUNICIPAL DE SÃO JOSÉ DOS PINHAIS</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21"/>
          <w:szCs w:val="21"/>
        </w:rPr>
      </w:pPr>
      <w:r>
        <w:rPr>
          <w:rFonts w:cs="Arial" w:ascii="Arial" w:hAnsi="Arial"/>
          <w:b/>
          <w:sz w:val="21"/>
          <w:szCs w:val="21"/>
        </w:rPr>
        <w:t>RUA PASSOS DE OLIVEIRA N.º 1101 - CENTRO - SÃO JOSÉ DOS PINHAIS/PR</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21"/>
          <w:szCs w:val="21"/>
        </w:rPr>
      </w:pPr>
      <w:r>
        <w:rPr>
          <w:rFonts w:cs="Arial" w:ascii="Arial" w:hAnsi="Arial"/>
          <w:b/>
          <w:sz w:val="21"/>
          <w:szCs w:val="21"/>
        </w:rPr>
        <w:t>CEP: 83.030-720</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21"/>
          <w:szCs w:val="21"/>
        </w:rPr>
      </w:pPr>
      <w:r>
        <w:rPr>
          <w:rFonts w:cs="Arial" w:ascii="Arial" w:hAnsi="Arial"/>
          <w:b/>
          <w:sz w:val="21"/>
          <w:szCs w:val="21"/>
        </w:rPr>
        <w:t>CNPJ N.º 76.105.543/0001-35</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21"/>
          <w:szCs w:val="21"/>
        </w:rPr>
      </w:pPr>
      <w:r>
        <w:rPr>
          <w:rFonts w:cs="Arial" w:ascii="Arial" w:hAnsi="Arial"/>
          <w:b/>
          <w:sz w:val="21"/>
          <w:szCs w:val="21"/>
        </w:rPr>
        <w:t>INSCRIÇÃO ESTADUAL – ISENTA</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21"/>
          <w:szCs w:val="21"/>
        </w:rPr>
      </w:pPr>
      <w:r>
        <w:rPr>
          <w:rFonts w:cs="Arial" w:ascii="Arial" w:hAnsi="Arial"/>
          <w:b/>
          <w:sz w:val="21"/>
          <w:szCs w:val="21"/>
        </w:rPr>
        <w:t>EMPENHO N.º ___________/2024.</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21"/>
          <w:szCs w:val="21"/>
        </w:rPr>
      </w:pPr>
      <w:r>
        <w:rPr>
          <w:rFonts w:cs="Arial" w:ascii="Arial" w:hAnsi="Arial"/>
          <w:b/>
          <w:sz w:val="21"/>
          <w:szCs w:val="21"/>
        </w:rPr>
      </w:r>
    </w:p>
    <w:p>
      <w:pPr>
        <w:pStyle w:val="Nivel2"/>
        <w:numPr>
          <w:ilvl w:val="1"/>
          <w:numId w:val="1"/>
        </w:numPr>
        <w:tabs>
          <w:tab w:val="left" w:pos="0" w:leader="none"/>
          <w:tab w:val="left" w:pos="993" w:leader="none"/>
        </w:tabs>
        <w:ind w:left="0" w:hanging="0"/>
        <w:rPr/>
      </w:pPr>
      <w:r>
        <w:rPr>
          <w:sz w:val="21"/>
          <w:szCs w:val="21"/>
          <w:lang w:eastAsia="en-US"/>
        </w:rPr>
        <w:t xml:space="preserve">Para fins de </w:t>
      </w:r>
      <w:r>
        <w:rPr>
          <w:sz w:val="21"/>
          <w:szCs w:val="21"/>
        </w:rPr>
        <w:t>liquidação</w:t>
      </w:r>
      <w:r>
        <w:rPr>
          <w:sz w:val="21"/>
          <w:szCs w:val="21"/>
          <w:lang w:eastAsia="en-US"/>
        </w:rPr>
        <w:t xml:space="preserve">, o setor competente deverá verificar se a nota fiscal apresentada expressa os elementos necessários e essenciais do documento, tais como: </w:t>
      </w:r>
    </w:p>
    <w:p>
      <w:pPr>
        <w:pStyle w:val="Normal"/>
        <w:numPr>
          <w:ilvl w:val="0"/>
          <w:numId w:val="7"/>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 prazo de validade; </w:t>
      </w:r>
    </w:p>
    <w:p>
      <w:pPr>
        <w:pStyle w:val="Normal"/>
        <w:numPr>
          <w:ilvl w:val="0"/>
          <w:numId w:val="7"/>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a data da emissão; </w:t>
      </w:r>
    </w:p>
    <w:p>
      <w:pPr>
        <w:pStyle w:val="Normal"/>
        <w:numPr>
          <w:ilvl w:val="0"/>
          <w:numId w:val="7"/>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os dados do contrato e do órgão contratante; </w:t>
      </w:r>
    </w:p>
    <w:p>
      <w:pPr>
        <w:pStyle w:val="Normal"/>
        <w:numPr>
          <w:ilvl w:val="0"/>
          <w:numId w:val="7"/>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 período respectivo de execução do contrato; </w:t>
      </w:r>
    </w:p>
    <w:p>
      <w:pPr>
        <w:pStyle w:val="Normal"/>
        <w:numPr>
          <w:ilvl w:val="0"/>
          <w:numId w:val="7"/>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 valor a pagar; e </w:t>
      </w:r>
    </w:p>
    <w:p>
      <w:pPr>
        <w:pStyle w:val="Normal"/>
        <w:numPr>
          <w:ilvl w:val="0"/>
          <w:numId w:val="7"/>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eventual destaque do valor de retenções tributárias cabíveis.</w:t>
      </w:r>
    </w:p>
    <w:p>
      <w:pPr>
        <w:pStyle w:val="Normal"/>
        <w:tabs>
          <w:tab w:val="clear" w:pos="708"/>
          <w:tab w:val="left" w:pos="-142" w:leader="none"/>
          <w:tab w:val="left" w:pos="318"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r>
    </w:p>
    <w:p>
      <w:pPr>
        <w:pStyle w:val="Nivel2"/>
        <w:numPr>
          <w:ilvl w:val="1"/>
          <w:numId w:val="1"/>
        </w:numPr>
        <w:tabs>
          <w:tab w:val="left" w:pos="0" w:leader="none"/>
          <w:tab w:val="left" w:pos="993" w:leader="none"/>
        </w:tabs>
        <w:ind w:left="0" w:hanging="0"/>
        <w:rPr/>
      </w:pPr>
      <w:r>
        <w:rPr>
          <w:rFonts w:eastAsia="Calibri"/>
          <w:sz w:val="21"/>
          <w:szCs w:val="21"/>
          <w:lang w:eastAsia="en-US"/>
        </w:rPr>
        <w:t xml:space="preserve">Havendo erro na apresentação da nota fiscal ou circunstância que impeça a </w:t>
      </w:r>
      <w:r>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pPr>
        <w:pStyle w:val="Nivel2"/>
        <w:numPr>
          <w:ilvl w:val="1"/>
          <w:numId w:val="1"/>
        </w:numPr>
        <w:tabs>
          <w:tab w:val="left" w:pos="0" w:leader="none"/>
          <w:tab w:val="left" w:pos="993" w:leader="none"/>
        </w:tabs>
        <w:ind w:left="0" w:hanging="0"/>
        <w:rPr/>
      </w:pPr>
      <w:r>
        <w:rPr>
          <w:sz w:val="21"/>
          <w:szCs w:val="21"/>
          <w:lang w:eastAsia="en-US"/>
        </w:rPr>
        <w:t xml:space="preserve">A nota fiscal ou instrumento de cobrança equivalente deverá ser obrigatoriamente acompanhado da comprovação da regularidade </w:t>
      </w:r>
      <w:r>
        <w:rPr>
          <w:rFonts w:eastAsia="Calibri"/>
          <w:sz w:val="21"/>
          <w:szCs w:val="21"/>
          <w:lang w:eastAsia="en-US"/>
        </w:rPr>
        <w:t>fiscal</w:t>
      </w:r>
      <w:r>
        <w:rPr>
          <w:sz w:val="21"/>
          <w:szCs w:val="21"/>
          <w:lang w:eastAsia="en-US"/>
        </w:rPr>
        <w:t xml:space="preserve">, constatada por meio de consulta on-line ao SICAF ou, na impossibilidade de acesso ao referido Sistema, mediante consulta aos sítios eletrônicos oficiais ou à documentação mencionada no </w:t>
      </w:r>
      <w:r>
        <w:fldChar w:fldCharType="begin"/>
      </w:r>
      <w:r>
        <w:rPr>
          <w:sz w:val="21"/>
          <w:szCs w:val="21"/>
          <w:lang w:eastAsia="en-US"/>
        </w:rPr>
        <w:instrText> HYPERLINK "http://www.planalto.gov.br/ccivil_03/_ato2019-2022/2021/lei/L14133.htm" \l "art68"</w:instrText>
      </w:r>
      <w:r>
        <w:rPr>
          <w:sz w:val="21"/>
          <w:szCs w:val="21"/>
          <w:lang w:eastAsia="en-US"/>
        </w:rPr>
        <w:fldChar w:fldCharType="separate"/>
      </w:r>
      <w:r>
        <w:rPr>
          <w:sz w:val="21"/>
          <w:szCs w:val="21"/>
          <w:lang w:eastAsia="en-US"/>
        </w:rPr>
        <w:t xml:space="preserve">art. 68 da Lei nº 14.133, de 2021.  </w:t>
      </w:r>
      <w:r>
        <w:rPr>
          <w:sz w:val="21"/>
          <w:szCs w:val="21"/>
          <w:lang w:eastAsia="en-US"/>
        </w:rPr>
        <w:fldChar w:fldCharType="end"/>
      </w:r>
    </w:p>
    <w:p>
      <w:pPr>
        <w:pStyle w:val="Nivel2"/>
        <w:numPr>
          <w:ilvl w:val="1"/>
          <w:numId w:val="1"/>
        </w:numPr>
        <w:tabs>
          <w:tab w:val="left" w:pos="0" w:leader="none"/>
          <w:tab w:val="left" w:pos="993" w:leader="none"/>
        </w:tabs>
        <w:ind w:left="0" w:hanging="0"/>
        <w:rPr>
          <w:sz w:val="21"/>
          <w:szCs w:val="21"/>
          <w:lang w:eastAsia="en-US"/>
        </w:rPr>
      </w:pPr>
      <w:r>
        <w:rPr>
          <w:sz w:val="21"/>
          <w:szCs w:val="21"/>
          <w:lang w:eastAsia="en-US"/>
        </w:rPr>
        <w:t xml:space="preserve">A Administração deverá realizar consulta, conforme item anterior, para: </w:t>
      </w:r>
    </w:p>
    <w:p>
      <w:pPr>
        <w:pStyle w:val="Normal"/>
        <w:numPr>
          <w:ilvl w:val="0"/>
          <w:numId w:val="8"/>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verificar a manutenção das condições de habilitação exigidas no edital;</w:t>
      </w:r>
    </w:p>
    <w:p>
      <w:pPr>
        <w:pStyle w:val="Normal"/>
        <w:numPr>
          <w:ilvl w:val="0"/>
          <w:numId w:val="8"/>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pPr>
        <w:pStyle w:val="Normal"/>
        <w:tabs>
          <w:tab w:val="clear" w:pos="708"/>
          <w:tab w:val="left" w:pos="993"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r>
    </w:p>
    <w:p>
      <w:pPr>
        <w:pStyle w:val="Nivel2"/>
        <w:numPr>
          <w:ilvl w:val="1"/>
          <w:numId w:val="1"/>
        </w:numPr>
        <w:tabs>
          <w:tab w:val="left" w:pos="0" w:leader="none"/>
          <w:tab w:val="left" w:pos="426" w:leader="none"/>
          <w:tab w:val="left" w:pos="993" w:leader="none"/>
        </w:tabs>
        <w:ind w:left="0" w:hanging="0"/>
        <w:rPr>
          <w:sz w:val="21"/>
          <w:szCs w:val="21"/>
          <w:lang w:eastAsia="en-US"/>
        </w:rPr>
      </w:pPr>
      <w:r>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
        </w:numPr>
        <w:tabs>
          <w:tab w:val="left" w:pos="-142" w:leader="none"/>
          <w:tab w:val="left" w:pos="0" w:leader="none"/>
          <w:tab w:val="left" w:pos="426" w:leader="none"/>
        </w:tabs>
        <w:ind w:left="0" w:hanging="0"/>
        <w:rPr>
          <w:sz w:val="21"/>
          <w:szCs w:val="21"/>
          <w:lang w:eastAsia="en-US"/>
        </w:rPr>
      </w:pPr>
      <w:r>
        <w:rPr>
          <w:sz w:val="21"/>
          <w:szCs w:val="21"/>
          <w:lang w:eastAsia="en-US"/>
        </w:rPr>
        <w:t>Não havendo regularização ou sendo a defesa considerada improcedente, o Município deverá comunicar aos órgãos responsáveis pela fiscalização da regularidade fiscal quanto à inadimplência da detentora da ata, bem como quanto à existência de pagamento a ser efetuado, para que sejam acionados os meios pertinentes e necessários para garantir o recebimento de seus créditos.</w:t>
      </w:r>
    </w:p>
    <w:p>
      <w:pPr>
        <w:pStyle w:val="Nivel2"/>
        <w:numPr>
          <w:ilvl w:val="1"/>
          <w:numId w:val="1"/>
        </w:numPr>
        <w:tabs>
          <w:tab w:val="left" w:pos="-142" w:leader="none"/>
          <w:tab w:val="left" w:pos="0" w:leader="none"/>
          <w:tab w:val="left" w:pos="426" w:leader="none"/>
        </w:tabs>
        <w:ind w:left="0" w:hanging="0"/>
        <w:rPr>
          <w:sz w:val="21"/>
          <w:szCs w:val="21"/>
          <w:lang w:eastAsia="en-US"/>
        </w:rPr>
      </w:pPr>
      <w:r>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pPr>
        <w:pStyle w:val="Nivel2"/>
        <w:numPr>
          <w:ilvl w:val="1"/>
          <w:numId w:val="1"/>
        </w:numPr>
        <w:tabs>
          <w:tab w:val="left" w:pos="-142" w:leader="none"/>
          <w:tab w:val="left" w:pos="0" w:leader="none"/>
          <w:tab w:val="left" w:pos="567" w:leader="none"/>
        </w:tabs>
        <w:ind w:left="0" w:hanging="0"/>
        <w:rPr>
          <w:sz w:val="21"/>
          <w:szCs w:val="21"/>
          <w:lang w:eastAsia="en-US"/>
        </w:rPr>
      </w:pPr>
      <w:r>
        <w:rPr>
          <w:sz w:val="21"/>
          <w:szCs w:val="21"/>
          <w:lang w:eastAsia="en-US"/>
        </w:rPr>
        <w:t xml:space="preserve">Havendo a efetiva execução do objeto, os pagamentos serão realizados normalmente, até que se decida pelo cancelamento da ata, caso a detentora da ata não regularize sua situação.  </w:t>
      </w:r>
    </w:p>
    <w:p>
      <w:pPr>
        <w:pStyle w:val="Nivel2"/>
        <w:numPr>
          <w:ilvl w:val="1"/>
          <w:numId w:val="1"/>
        </w:numPr>
        <w:tabs>
          <w:tab w:val="left" w:pos="-142" w:leader="none"/>
          <w:tab w:val="left" w:pos="0" w:leader="none"/>
          <w:tab w:val="left" w:pos="567" w:leader="none"/>
        </w:tabs>
        <w:ind w:left="0" w:hanging="0"/>
        <w:rPr>
          <w:sz w:val="21"/>
          <w:szCs w:val="21"/>
        </w:rPr>
      </w:pPr>
      <w:r>
        <w:rPr>
          <w:sz w:val="21"/>
          <w:szCs w:val="21"/>
        </w:rPr>
        <w:t>O pagamento será realizado por meio de ordem bancária, para crédito em banco, agência e conta-corrente indicados pela detentora da ata, com base no fornecimento efetuado, em até 30 (trinta) dias contados da apresentação da fatura correta que deverá corresponder ao produto efetivamente fornecido.</w:t>
      </w:r>
    </w:p>
    <w:p>
      <w:pPr>
        <w:pStyle w:val="Nivel2"/>
        <w:numPr>
          <w:ilvl w:val="1"/>
          <w:numId w:val="1"/>
        </w:numPr>
        <w:tabs>
          <w:tab w:val="left" w:pos="-142" w:leader="none"/>
          <w:tab w:val="left" w:pos="0" w:leader="none"/>
          <w:tab w:val="left" w:pos="567" w:leader="none"/>
        </w:tabs>
        <w:ind w:left="0" w:hanging="0"/>
        <w:rPr>
          <w:sz w:val="21"/>
          <w:szCs w:val="21"/>
        </w:rPr>
      </w:pPr>
      <w:r>
        <w:rPr>
          <w:sz w:val="21"/>
          <w:szCs w:val="21"/>
        </w:rPr>
        <w:t>Será considerada data do pagamento o dia em que constar como emitida a ordem bancária para pagamento.</w:t>
      </w:r>
    </w:p>
    <w:p>
      <w:pPr>
        <w:pStyle w:val="Nivel2"/>
        <w:numPr>
          <w:ilvl w:val="1"/>
          <w:numId w:val="1"/>
        </w:numPr>
        <w:tabs>
          <w:tab w:val="left" w:pos="-142" w:leader="none"/>
          <w:tab w:val="left" w:pos="0" w:leader="none"/>
          <w:tab w:val="left" w:pos="567" w:leader="none"/>
        </w:tabs>
        <w:ind w:left="0" w:hanging="0"/>
        <w:rPr/>
      </w:pPr>
      <w:r>
        <w:rPr>
          <w:sz w:val="21"/>
          <w:szCs w:val="21"/>
        </w:rPr>
        <w:t>Quando</w:t>
      </w:r>
      <w:r>
        <w:rPr>
          <w:sz w:val="21"/>
          <w:szCs w:val="21"/>
          <w:lang w:eastAsia="en-US"/>
        </w:rPr>
        <w:t xml:space="preserve"> do pagamento, será efetuada a retenção tributária prevista na legislação aplicável.</w:t>
      </w:r>
    </w:p>
    <w:p>
      <w:pPr>
        <w:pStyle w:val="Nvel3R"/>
        <w:numPr>
          <w:ilvl w:val="2"/>
          <w:numId w:val="1"/>
        </w:numPr>
        <w:tabs>
          <w:tab w:val="left" w:pos="-142" w:leader="none"/>
          <w:tab w:val="left" w:pos="0" w:leader="none"/>
        </w:tabs>
        <w:ind w:left="0" w:hanging="0"/>
        <w:rPr>
          <w:shd w:fill="FFFFFF" w:val="clear"/>
        </w:rPr>
      </w:pPr>
      <w:commentRangeStart w:id="48"/>
      <w:r>
        <w:rPr>
          <w:i w:val="false"/>
          <w:iCs w:val="false"/>
          <w:color w:val="000000"/>
          <w:shd w:fill="FFFFFF" w:val="clear"/>
          <w:lang w:eastAsia="en-US"/>
        </w:rPr>
        <w:t>Independentemente do percentual de tributo inserido na planilha, quando houver, serão retidos na fonte, quando da realização do pagamento, os percentuais estabelecidos na legislação vigente.</w:t>
      </w:r>
      <w:commentRangeEnd w:id="48"/>
      <w:r>
        <w:commentReference w:id="48"/>
      </w:r>
      <w:r>
        <w:rPr>
          <w:i w:val="false"/>
          <w:iCs w:val="false"/>
          <w:color w:val="000000"/>
          <w:shd w:fill="FFFFFF" w:val="clear"/>
          <w:lang w:eastAsia="en-US"/>
        </w:rPr>
      </w:r>
    </w:p>
    <w:p>
      <w:pPr>
        <w:pStyle w:val="Nivel2"/>
        <w:numPr>
          <w:ilvl w:val="1"/>
          <w:numId w:val="1"/>
        </w:numPr>
        <w:tabs>
          <w:tab w:val="left" w:pos="-142" w:leader="none"/>
          <w:tab w:val="left" w:pos="0" w:leader="none"/>
          <w:tab w:val="left" w:pos="567" w:leader="none"/>
        </w:tabs>
        <w:ind w:left="0" w:hanging="0"/>
        <w:rPr/>
      </w:pPr>
      <w:r>
        <w:rPr>
          <w:sz w:val="21"/>
          <w:szCs w:val="21"/>
          <w:lang w:eastAsia="en-US"/>
        </w:rPr>
        <w:t xml:space="preserve">A detentora da ata regularmente optante pelo Simples Nacional, nos termos da </w:t>
      </w:r>
      <w:hyperlink r:id="rId29">
        <w:r>
          <w:rPr>
            <w:color w:val="000080"/>
            <w:sz w:val="21"/>
            <w:u w:val="single"/>
          </w:rPr>
          <w:t>Lei Complementar nº 123, de 2006</w:t>
        </w:r>
      </w:hyperlink>
      <w:r>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ivel2"/>
        <w:numPr>
          <w:ilvl w:val="1"/>
          <w:numId w:val="1"/>
        </w:numPr>
        <w:tabs>
          <w:tab w:val="left" w:pos="-142" w:leader="none"/>
          <w:tab w:val="left" w:pos="0" w:leader="none"/>
          <w:tab w:val="left" w:pos="567" w:leader="none"/>
        </w:tabs>
        <w:ind w:left="0" w:hanging="0"/>
        <w:rPr/>
      </w:pPr>
      <w:r>
        <w:rPr>
          <w:sz w:val="21"/>
          <w:szCs w:val="21"/>
        </w:rPr>
        <w:t xml:space="preserve">No caso </w:t>
      </w:r>
      <w:r>
        <w:rPr>
          <w:sz w:val="21"/>
          <w:szCs w:val="21"/>
          <w:lang w:eastAsia="en-US"/>
        </w:rPr>
        <w:t>de</w:t>
      </w:r>
      <w:r>
        <w:rPr>
          <w:sz w:val="21"/>
          <w:szCs w:val="21"/>
        </w:rPr>
        <w:t xml:space="preserve"> atraso pelo </w:t>
      </w:r>
      <w:r>
        <w:rPr>
          <w:rFonts w:eastAsia="Calibri"/>
          <w:sz w:val="21"/>
          <w:szCs w:val="21"/>
          <w:lang w:eastAsia="en-US"/>
        </w:rPr>
        <w:t xml:space="preserve">Município, os valores devidos a detentora da ata serão atualizados monetariamente entre o termo final do prazo de pagamento até a data de sua efetiva realização, mediante aplicação do índice de correção monetária - </w:t>
      </w:r>
      <w:commentRangeStart w:id="49"/>
      <w:r>
        <w:rPr>
          <w:rFonts w:eastAsia="Calibri"/>
          <w:sz w:val="21"/>
          <w:szCs w:val="21"/>
          <w:lang w:eastAsia="en-US"/>
        </w:rPr>
        <w:t>Índice Nacional de Preços ao Consumidor Amplo – IPCA, e na sua falta, aquele que vier a substituí-lo.</w:t>
      </w:r>
      <w:commentRangeEnd w:id="49"/>
      <w:r>
        <w:commentReference w:id="49"/>
      </w:r>
      <w:r>
        <w:rPr>
          <w:rFonts w:eastAsia="Calibri"/>
          <w:sz w:val="21"/>
          <w:szCs w:val="21"/>
          <w:lang w:eastAsia="en-US"/>
        </w:rPr>
      </w:r>
    </w:p>
    <w:p>
      <w:pPr>
        <w:pStyle w:val="Nivel2"/>
        <w:numPr>
          <w:ilvl w:val="1"/>
          <w:numId w:val="1"/>
        </w:numPr>
        <w:tabs>
          <w:tab w:val="left" w:pos="-142" w:leader="none"/>
          <w:tab w:val="left" w:pos="0" w:leader="none"/>
          <w:tab w:val="left" w:pos="567" w:leader="none"/>
          <w:tab w:val="left" w:pos="1134" w:leader="none"/>
        </w:tabs>
        <w:ind w:left="0" w:hanging="0"/>
        <w:rPr/>
      </w:pPr>
      <w:r>
        <w:rPr>
          <w:sz w:val="21"/>
          <w:szCs w:val="21"/>
          <w:lang w:eastAsia="en-US"/>
        </w:rPr>
        <w:t>A libera</w:t>
      </w:r>
      <w:r>
        <w:rPr>
          <w:i w:val="false"/>
          <w:iCs w:val="false"/>
          <w:color w:val="000000"/>
          <w:sz w:val="21"/>
          <w:szCs w:val="21"/>
          <w:lang w:eastAsia="en-US"/>
        </w:rPr>
        <w:t>ção do pagamento fica vinculada à apresentação da NOTA FISCAL através do  portal do Fornecedor (</w:t>
      </w:r>
      <w:r>
        <w:rPr>
          <w:rStyle w:val="LinkdaInternet"/>
          <w:i w:val="false"/>
          <w:iCs w:val="false"/>
          <w:color w:val="000000"/>
          <w:sz w:val="21"/>
          <w:szCs w:val="21"/>
          <w:lang w:eastAsia="en-US"/>
        </w:rPr>
        <w:t>www.sjp.pr.gov.br/secretarias/secretaria-administracao/portal-do-fornecedor/</w:t>
      </w:r>
      <w:r>
        <w:rPr>
          <w:i w:val="false"/>
          <w:iCs w:val="false"/>
          <w:color w:val="000000"/>
          <w:sz w:val="21"/>
          <w:szCs w:val="21"/>
          <w:lang w:eastAsia="en-US"/>
        </w:rPr>
        <w:t>), juntamente com a comprovação da continuidade das condições de habilitação, em especial:</w:t>
      </w:r>
    </w:p>
    <w:p>
      <w:pPr>
        <w:pStyle w:val="Nvel3R"/>
        <w:numPr>
          <w:ilvl w:val="2"/>
          <w:numId w:val="1"/>
        </w:numPr>
        <w:tabs>
          <w:tab w:val="left" w:pos="-142" w:leader="none"/>
          <w:tab w:val="left" w:pos="0" w:leader="none"/>
        </w:tabs>
        <w:ind w:left="0" w:hanging="0"/>
        <w:rPr>
          <w:i w:val="false"/>
          <w:i w:val="false"/>
          <w:iCs w:val="false"/>
          <w:color w:val="000000"/>
        </w:rPr>
      </w:pPr>
      <w:r>
        <w:rPr>
          <w:i w:val="false"/>
          <w:iCs w:val="false"/>
          <w:color w:val="000000"/>
          <w:lang w:eastAsia="en-US"/>
        </w:rPr>
        <w:t>Prova de Regularidade (certidão) relativa à Seguridade Social (INSS) e ao Fundo de Garantia por Tempo de Serviços (FGTS), em plena validade.</w:t>
      </w:r>
    </w:p>
    <w:p>
      <w:pPr>
        <w:pStyle w:val="Nvel3R"/>
        <w:numPr>
          <w:ilvl w:val="2"/>
          <w:numId w:val="1"/>
        </w:numPr>
        <w:tabs>
          <w:tab w:val="left" w:pos="-142" w:leader="none"/>
          <w:tab w:val="left" w:pos="0" w:leader="none"/>
        </w:tabs>
        <w:ind w:left="0" w:hanging="0"/>
        <w:rPr/>
      </w:pPr>
      <w:r>
        <w:rPr>
          <w:i w:val="false"/>
          <w:iCs w:val="false"/>
          <w:color w:val="000000"/>
          <w:lang w:eastAsia="en-US"/>
        </w:rPr>
        <w:t xml:space="preserve">Certidão que comprove Regularidade de Tributos Municipais junto ao Município de São José dos Pinhais, em plena </w:t>
      </w:r>
      <w:commentRangeStart w:id="50"/>
      <w:r>
        <w:rPr>
          <w:i w:val="false"/>
          <w:iCs w:val="false"/>
          <w:color w:val="000000"/>
          <w:lang w:eastAsia="en-US"/>
        </w:rPr>
        <w:t>validade</w:t>
      </w:r>
      <w:r>
        <w:rPr>
          <w:i w:val="false"/>
          <w:iCs w:val="false"/>
          <w:color w:val="000000"/>
          <w:lang w:eastAsia="en-US"/>
        </w:rPr>
      </w:r>
      <w:commentRangeEnd w:id="50"/>
      <w:r>
        <w:commentReference w:id="50"/>
      </w:r>
      <w:r>
        <w:rPr>
          <w:lang w:eastAsia="en-US"/>
        </w:rPr>
        <w:t>.</w:t>
      </w:r>
    </w:p>
    <w:p>
      <w:pPr>
        <w:pStyle w:val="Nivel01"/>
        <w:numPr>
          <w:ilvl w:val="0"/>
          <w:numId w:val="1"/>
        </w:numPr>
        <w:ind w:left="0" w:right="0" w:hanging="0"/>
        <w:rPr/>
      </w:pPr>
      <w:r>
        <w:rPr/>
        <w:t>DAS PENALIDADES</w:t>
      </w:r>
    </w:p>
    <w:p>
      <w:pPr>
        <w:pStyle w:val="Nivel2"/>
        <w:numPr>
          <w:ilvl w:val="1"/>
          <w:numId w:val="1"/>
        </w:numPr>
        <w:tabs>
          <w:tab w:val="left" w:pos="0" w:leader="none"/>
          <w:tab w:val="left" w:pos="993" w:leader="none"/>
        </w:tabs>
        <w:ind w:left="0" w:hanging="0"/>
        <w:rPr>
          <w:sz w:val="21"/>
          <w:szCs w:val="21"/>
        </w:rPr>
      </w:pPr>
      <w:r>
        <w:rPr>
          <w:sz w:val="21"/>
          <w:szCs w:val="21"/>
        </w:rPr>
        <w:t>O descumprimento da Ata de Registro de Preços ensejará aplicação das penalidades estabelecidas nesta Ata.</w:t>
      </w:r>
    </w:p>
    <w:p>
      <w:pPr>
        <w:pStyle w:val="Nvel3"/>
        <w:numPr>
          <w:ilvl w:val="2"/>
          <w:numId w:val="1"/>
        </w:numPr>
        <w:tabs>
          <w:tab w:val="left" w:pos="0" w:leader="none"/>
          <w:tab w:val="left" w:pos="1276" w:leader="none"/>
        </w:tabs>
        <w:ind w:left="0" w:hanging="0"/>
        <w:rPr/>
      </w:pPr>
      <w:r>
        <w:rPr>
          <w:sz w:val="21"/>
          <w:szCs w:val="21"/>
        </w:rPr>
        <w:t xml:space="preserve">As sanções também se aplicam aos integrantes do cadastro de reserva no registro de preços que, convocados, não honrarem o compromisso assumido </w:t>
      </w:r>
      <w:commentRangeStart w:id="51"/>
      <w:r>
        <w:rPr>
          <w:sz w:val="21"/>
          <w:szCs w:val="21"/>
        </w:rPr>
        <w:t>injustificadamente</w:t>
      </w:r>
      <w:r>
        <w:rPr>
          <w:sz w:val="21"/>
          <w:szCs w:val="21"/>
        </w:rPr>
      </w:r>
      <w:commentRangeEnd w:id="51"/>
      <w:r>
        <w:commentReference w:id="51"/>
      </w:r>
      <w:r>
        <w:rPr>
          <w:sz w:val="21"/>
          <w:szCs w:val="21"/>
        </w:rPr>
        <w:t xml:space="preserve"> após terem assinado a ata. </w:t>
      </w:r>
    </w:p>
    <w:p>
      <w:pPr>
        <w:pStyle w:val="Nivel2"/>
        <w:numPr>
          <w:ilvl w:val="1"/>
          <w:numId w:val="1"/>
        </w:numPr>
        <w:tabs>
          <w:tab w:val="left" w:pos="0" w:leader="none"/>
          <w:tab w:val="left" w:pos="993" w:leader="none"/>
        </w:tabs>
        <w:ind w:left="0" w:hanging="0"/>
        <w:rPr/>
      </w:pPr>
      <w:r>
        <w:rPr>
          <w:sz w:val="21"/>
          <w:szCs w:val="21"/>
        </w:rPr>
        <w:t xml:space="preserve">É da competência do </w:t>
      </w:r>
      <w:commentRangeStart w:id="52"/>
      <w:r>
        <w:rPr>
          <w:sz w:val="21"/>
          <w:szCs w:val="21"/>
        </w:rPr>
        <w:t>Município</w:t>
      </w:r>
      <w:r>
        <w:rPr>
          <w:sz w:val="21"/>
          <w:szCs w:val="21"/>
        </w:rPr>
      </w:r>
      <w:commentRangeEnd w:id="52"/>
      <w:r>
        <w:commentReference w:id="52"/>
      </w:r>
      <w:r>
        <w:rPr>
          <w:sz w:val="21"/>
          <w:szCs w:val="21"/>
        </w:rPr>
        <w:t xml:space="preserve"> a aplicação das penalidades decorrentes do </w:t>
      </w:r>
      <w:r>
        <w:rPr>
          <w:rFonts w:eastAsia="MS Mincho"/>
          <w:sz w:val="21"/>
          <w:szCs w:val="21"/>
        </w:rPr>
        <w:t>descumprimento</w:t>
      </w:r>
      <w:r>
        <w:rPr>
          <w:sz w:val="21"/>
          <w:szCs w:val="21"/>
        </w:rPr>
        <w:t xml:space="preserve"> do pactuado nesta ata de registro de preço.</w:t>
      </w:r>
    </w:p>
    <w:p>
      <w:pPr>
        <w:pStyle w:val="Nivel2"/>
        <w:numPr>
          <w:ilvl w:val="1"/>
          <w:numId w:val="1"/>
        </w:numPr>
        <w:tabs>
          <w:tab w:val="left" w:pos="0" w:leader="none"/>
          <w:tab w:val="left" w:pos="993" w:leader="none"/>
        </w:tabs>
        <w:ind w:left="0" w:hanging="0"/>
        <w:rPr/>
      </w:pPr>
      <w:r>
        <w:rPr>
          <w:rFonts w:eastAsia="MS Mincho"/>
          <w:sz w:val="21"/>
          <w:szCs w:val="21"/>
        </w:rPr>
        <w:t xml:space="preserve">Comete infração administrativa, nos termos da </w:t>
      </w:r>
      <w:hyperlink r:id="rId30">
        <w:r>
          <w:rPr>
            <w:rFonts w:eastAsia="MS Mincho"/>
            <w:color w:val="000080"/>
            <w:sz w:val="21"/>
            <w:u w:val="single"/>
          </w:rPr>
          <w:t>Lei nº 14.133, de 2021</w:t>
        </w:r>
      </w:hyperlink>
      <w:r>
        <w:rPr>
          <w:rFonts w:eastAsia="MS Mincho"/>
          <w:sz w:val="21"/>
          <w:szCs w:val="21"/>
        </w:rPr>
        <w:t>, a detentora da ata que:</w:t>
      </w:r>
    </w:p>
    <w:p>
      <w:pPr>
        <w:pStyle w:val="Normal"/>
        <w:tabs>
          <w:tab w:val="clear" w:pos="708"/>
          <w:tab w:val="left" w:pos="-142" w:leader="none"/>
          <w:tab w:val="left" w:pos="851" w:leader="none"/>
        </w:tabs>
        <w:spacing w:before="0" w:after="120"/>
        <w:ind w:left="1791" w:hanging="0"/>
        <w:jc w:val="both"/>
        <w:rPr/>
      </w:pPr>
      <w:r>
        <w:rPr>
          <w:rFonts w:eastAsia="Arial" w:cs="Arial" w:ascii="Arial" w:hAnsi="Arial"/>
          <w:sz w:val="21"/>
          <w:szCs w:val="21"/>
        </w:rPr>
        <w:t>a) der causa à inexecução parcial da Nota de Empenho;</w:t>
      </w:r>
    </w:p>
    <w:p>
      <w:pPr>
        <w:pStyle w:val="Normal"/>
        <w:tabs>
          <w:tab w:val="clear" w:pos="708"/>
          <w:tab w:val="left" w:pos="-142" w:leader="none"/>
          <w:tab w:val="left" w:pos="851" w:leader="none"/>
        </w:tabs>
        <w:spacing w:before="0" w:after="120"/>
        <w:ind w:left="1791" w:hanging="0"/>
        <w:jc w:val="both"/>
        <w:rPr>
          <w:rFonts w:ascii="Arial" w:hAnsi="Arial" w:eastAsia="Arial" w:cs="Arial"/>
          <w:sz w:val="21"/>
          <w:szCs w:val="21"/>
        </w:rPr>
      </w:pPr>
      <w:r>
        <w:rPr>
          <w:rFonts w:eastAsia="Arial" w:cs="Arial" w:ascii="Arial" w:hAnsi="Arial"/>
          <w:sz w:val="21"/>
          <w:szCs w:val="21"/>
        </w:rPr>
        <w:t>b) der causa à inexecução parcial da Nota de Empenho que cause grave dano à Administração ou ao funcionamento dos serviços públicos ou ao interesse coletivo;</w:t>
      </w:r>
    </w:p>
    <w:p>
      <w:pPr>
        <w:pStyle w:val="Normal"/>
        <w:tabs>
          <w:tab w:val="clear" w:pos="708"/>
          <w:tab w:val="left" w:pos="-142" w:leader="none"/>
          <w:tab w:val="left" w:pos="851" w:leader="none"/>
        </w:tabs>
        <w:spacing w:before="0" w:after="120"/>
        <w:ind w:left="1791" w:hanging="0"/>
        <w:jc w:val="both"/>
        <w:rPr>
          <w:rFonts w:ascii="Arial" w:hAnsi="Arial" w:eastAsia="Arial" w:cs="Arial"/>
          <w:sz w:val="21"/>
          <w:szCs w:val="21"/>
        </w:rPr>
      </w:pPr>
      <w:r>
        <w:rPr>
          <w:rFonts w:eastAsia="Arial" w:cs="Arial" w:ascii="Arial" w:hAnsi="Arial"/>
          <w:sz w:val="21"/>
          <w:szCs w:val="21"/>
        </w:rPr>
        <w:t>c) der causa à inexecução total da Nota de Empenho;</w:t>
      </w:r>
    </w:p>
    <w:p>
      <w:pPr>
        <w:pStyle w:val="Normal"/>
        <w:tabs>
          <w:tab w:val="clear" w:pos="708"/>
          <w:tab w:val="left" w:pos="-142" w:leader="none"/>
          <w:tab w:val="left" w:pos="851" w:leader="none"/>
        </w:tabs>
        <w:spacing w:before="0" w:after="120"/>
        <w:ind w:left="1791" w:hanging="0"/>
        <w:jc w:val="both"/>
        <w:rPr>
          <w:rFonts w:ascii="Arial" w:hAnsi="Arial" w:eastAsia="Arial" w:cs="Arial"/>
          <w:sz w:val="21"/>
          <w:szCs w:val="21"/>
        </w:rPr>
      </w:pPr>
      <w:r>
        <w:rPr>
          <w:rFonts w:eastAsia="Arial" w:cs="Arial" w:ascii="Arial" w:hAnsi="Arial"/>
          <w:sz w:val="21"/>
          <w:szCs w:val="21"/>
        </w:rPr>
        <w:t>d) ensejar o retardamento da execução ou da entrega do objeto registrado sem motivo justificado;</w:t>
      </w:r>
    </w:p>
    <w:p>
      <w:pPr>
        <w:pStyle w:val="Normal"/>
        <w:tabs>
          <w:tab w:val="clear" w:pos="708"/>
          <w:tab w:val="left" w:pos="-142" w:leader="none"/>
          <w:tab w:val="left" w:pos="851" w:leader="none"/>
        </w:tabs>
        <w:spacing w:before="0" w:after="120"/>
        <w:ind w:left="1791" w:hanging="0"/>
        <w:jc w:val="both"/>
        <w:rPr>
          <w:rFonts w:ascii="Arial" w:hAnsi="Arial" w:eastAsia="Arial" w:cs="Arial"/>
          <w:sz w:val="21"/>
          <w:szCs w:val="21"/>
        </w:rPr>
      </w:pPr>
      <w:r>
        <w:rPr>
          <w:rFonts w:eastAsia="Arial" w:cs="Arial" w:ascii="Arial" w:hAnsi="Arial"/>
          <w:sz w:val="21"/>
          <w:szCs w:val="21"/>
        </w:rPr>
        <w:t>e) apresentar documentação falsa ou prestar declaração falsa durante a execução da Ata de Registro de Preços;</w:t>
      </w:r>
    </w:p>
    <w:p>
      <w:pPr>
        <w:pStyle w:val="Normal"/>
        <w:tabs>
          <w:tab w:val="clear" w:pos="708"/>
          <w:tab w:val="left" w:pos="-142" w:leader="none"/>
          <w:tab w:val="left" w:pos="851" w:leader="none"/>
        </w:tabs>
        <w:spacing w:before="0" w:after="120"/>
        <w:ind w:left="1791" w:hanging="0"/>
        <w:jc w:val="both"/>
        <w:rPr>
          <w:rFonts w:ascii="Arial" w:hAnsi="Arial" w:eastAsia="Arial" w:cs="Arial"/>
          <w:sz w:val="21"/>
          <w:szCs w:val="21"/>
        </w:rPr>
      </w:pPr>
      <w:r>
        <w:rPr>
          <w:rFonts w:eastAsia="Arial" w:cs="Arial" w:ascii="Arial" w:hAnsi="Arial"/>
          <w:sz w:val="21"/>
          <w:szCs w:val="21"/>
        </w:rPr>
        <w:t>f) praticar ato fraudulento na execução da Ata de Registro de Preços;</w:t>
      </w:r>
    </w:p>
    <w:p>
      <w:pPr>
        <w:pStyle w:val="Normal"/>
        <w:tabs>
          <w:tab w:val="clear" w:pos="708"/>
          <w:tab w:val="left" w:pos="-142" w:leader="none"/>
          <w:tab w:val="left" w:pos="851" w:leader="none"/>
        </w:tabs>
        <w:spacing w:before="0" w:after="120"/>
        <w:ind w:left="1791" w:hanging="0"/>
        <w:jc w:val="both"/>
        <w:rPr>
          <w:rFonts w:ascii="Arial" w:hAnsi="Arial" w:eastAsia="Arial" w:cs="Arial"/>
          <w:sz w:val="21"/>
          <w:szCs w:val="21"/>
        </w:rPr>
      </w:pPr>
      <w:r>
        <w:rPr>
          <w:rFonts w:eastAsia="Arial" w:cs="Arial" w:ascii="Arial" w:hAnsi="Arial"/>
          <w:sz w:val="21"/>
          <w:szCs w:val="21"/>
        </w:rPr>
        <w:t>g) comportar-se de modo inidôneo ou cometer fraude de qualquer natureza;</w:t>
      </w:r>
    </w:p>
    <w:p>
      <w:pPr>
        <w:pStyle w:val="Normal"/>
        <w:tabs>
          <w:tab w:val="clear" w:pos="708"/>
          <w:tab w:val="left" w:pos="-142" w:leader="none"/>
          <w:tab w:val="left" w:pos="851" w:leader="none"/>
        </w:tabs>
        <w:spacing w:before="0" w:after="120"/>
        <w:ind w:left="1791" w:hanging="0"/>
        <w:jc w:val="both"/>
        <w:rPr/>
      </w:pPr>
      <w:r>
        <w:rPr>
          <w:rFonts w:eastAsia="Arial" w:cs="Arial" w:ascii="Arial" w:hAnsi="Arial"/>
          <w:sz w:val="21"/>
          <w:szCs w:val="21"/>
        </w:rPr>
        <w:t xml:space="preserve">h) praticar ato lesivo previsto no </w:t>
      </w:r>
      <w:r>
        <w:fldChar w:fldCharType="begin"/>
      </w:r>
      <w:r>
        <w:rPr>
          <w:sz w:val="21"/>
          <w:u w:val="single"/>
          <w:rFonts w:eastAsia="Arial" w:cs="Arial" w:ascii="Arial" w:hAnsi="Arial"/>
          <w:color w:val="000080"/>
        </w:rPr>
        <w:instrText> HYPERLINK "https://www.planalto.gov.br/ccivil_03/_ato2011-2014/2013/lei/l12846.htm" \l "art5"</w:instrText>
      </w:r>
      <w:r>
        <w:rPr>
          <w:sz w:val="21"/>
          <w:u w:val="single"/>
          <w:rFonts w:eastAsia="Arial" w:cs="Arial" w:ascii="Arial" w:hAnsi="Arial"/>
          <w:color w:val="000080"/>
        </w:rPr>
        <w:fldChar w:fldCharType="separate"/>
      </w:r>
      <w:r>
        <w:rPr>
          <w:rFonts w:eastAsia="Arial" w:cs="Arial" w:ascii="Arial" w:hAnsi="Arial"/>
          <w:color w:val="000080"/>
          <w:sz w:val="21"/>
          <w:u w:val="single"/>
        </w:rPr>
        <w:t>art. 5º da Lei nº 12.846, de 1º de agosto de 2013</w:t>
      </w:r>
      <w:r>
        <w:rPr>
          <w:sz w:val="21"/>
          <w:u w:val="single"/>
          <w:rFonts w:eastAsia="Arial" w:cs="Arial" w:ascii="Arial" w:hAnsi="Arial"/>
          <w:color w:val="000080"/>
        </w:rPr>
        <w:fldChar w:fldCharType="end"/>
      </w:r>
      <w:r>
        <w:rPr>
          <w:rFonts w:eastAsia="Arial" w:cs="Arial" w:ascii="Arial" w:hAnsi="Arial"/>
          <w:sz w:val="21"/>
          <w:szCs w:val="21"/>
        </w:rPr>
        <w:t>.</w:t>
      </w:r>
    </w:p>
    <w:p>
      <w:pPr>
        <w:pStyle w:val="Nivel2"/>
        <w:numPr>
          <w:ilvl w:val="1"/>
          <w:numId w:val="1"/>
        </w:numPr>
        <w:tabs>
          <w:tab w:val="left" w:pos="0" w:leader="none"/>
          <w:tab w:val="left" w:pos="993" w:leader="none"/>
        </w:tabs>
        <w:ind w:left="0" w:hanging="0"/>
        <w:rPr/>
      </w:pPr>
      <w:commentRangeStart w:id="53"/>
      <w:r>
        <w:rPr>
          <w:rFonts w:eastAsia="MS Mincho"/>
          <w:sz w:val="21"/>
          <w:szCs w:val="21"/>
        </w:rPr>
        <w:t>Serão aplicad</w:t>
      </w:r>
      <w:r>
        <w:rPr>
          <w:rFonts w:eastAsia="MS Mincho"/>
          <w:sz w:val="21"/>
          <w:szCs w:val="21"/>
          <w:shd w:fill="FFFFFF" w:val="clear"/>
        </w:rPr>
        <w:t xml:space="preserve">as a detentora da ata </w:t>
      </w:r>
      <w:r>
        <w:rPr>
          <w:rFonts w:eastAsia="MS Mincho"/>
          <w:sz w:val="21"/>
          <w:szCs w:val="21"/>
        </w:rPr>
        <w:t>que incorrer nas infrações acima descritas as seguintes sanções:</w:t>
      </w:r>
      <w:commentRangeEnd w:id="53"/>
      <w:r>
        <w:commentReference w:id="53"/>
      </w:r>
      <w:r>
        <w:rPr>
          <w:rFonts w:eastAsia="MS Mincho"/>
          <w:sz w:val="21"/>
          <w:szCs w:val="21"/>
        </w:rPr>
      </w:r>
    </w:p>
    <w:p>
      <w:pPr>
        <w:pStyle w:val="Normal"/>
        <w:numPr>
          <w:ilvl w:val="0"/>
          <w:numId w:val="9"/>
        </w:numPr>
        <w:tabs>
          <w:tab w:val="clear" w:pos="708"/>
          <w:tab w:val="left" w:pos="851" w:leader="none"/>
        </w:tabs>
        <w:spacing w:before="0" w:after="120"/>
        <w:ind w:left="709" w:hanging="0"/>
        <w:contextualSpacing/>
        <w:jc w:val="both"/>
        <w:rPr/>
      </w:pPr>
      <w:r>
        <w:rPr>
          <w:rFonts w:eastAsia="Arial" w:cs="Arial" w:ascii="Arial" w:hAnsi="Arial"/>
          <w:b/>
          <w:bCs/>
          <w:sz w:val="21"/>
          <w:szCs w:val="21"/>
        </w:rPr>
        <w:t>Advertência</w:t>
      </w:r>
      <w:r>
        <w:rPr>
          <w:rFonts w:eastAsia="Arial" w:cs="Arial" w:ascii="Arial" w:hAnsi="Arial"/>
          <w:sz w:val="21"/>
          <w:szCs w:val="21"/>
        </w:rPr>
        <w:t xml:space="preserve">, quando </w:t>
      </w:r>
      <w:r>
        <w:rPr>
          <w:rFonts w:eastAsia="MS Mincho" w:cs="Arial" w:ascii="Arial" w:hAnsi="Arial"/>
          <w:color w:val="000000"/>
          <w:sz w:val="21"/>
          <w:szCs w:val="21"/>
        </w:rPr>
        <w:t xml:space="preserve">a detentora da ata </w:t>
      </w:r>
      <w:r>
        <w:rPr>
          <w:rFonts w:eastAsia="Arial" w:cs="Arial" w:ascii="Arial" w:hAnsi="Arial"/>
          <w:sz w:val="21"/>
          <w:szCs w:val="21"/>
        </w:rPr>
        <w:t>der causa à inexecução parcial da Nota de Empenho, sempre que não se justificar a imposição de penalidade mais grave (</w:t>
      </w:r>
      <w:r>
        <w:fldChar w:fldCharType="begin"/>
      </w:r>
      <w:r>
        <w:rPr>
          <w:sz w:val="21"/>
          <w:u w:val="single"/>
          <w:rFonts w:eastAsia="Arial" w:cs="Arial" w:ascii="Arial" w:hAnsi="Arial"/>
          <w:color w:val="000080"/>
        </w:rPr>
        <w:instrText> HYPERLINK "http://www.planalto.gov.br/ccivil_03/_ato2019-2022/2021/lei/L14133.htm" \l "art156§2"</w:instrText>
      </w:r>
      <w:r>
        <w:rPr>
          <w:sz w:val="21"/>
          <w:u w:val="single"/>
          <w:rFonts w:eastAsia="Arial" w:cs="Arial" w:ascii="Arial" w:hAnsi="Arial"/>
          <w:color w:val="000080"/>
        </w:rPr>
        <w:fldChar w:fldCharType="separate"/>
      </w:r>
      <w:r>
        <w:rPr>
          <w:rFonts w:eastAsia="Arial" w:cs="Arial" w:ascii="Arial" w:hAnsi="Arial"/>
          <w:color w:val="000080"/>
          <w:sz w:val="21"/>
          <w:u w:val="single"/>
        </w:rPr>
        <w:t xml:space="preserve">art. 156, §2º, da </w:t>
      </w:r>
      <w:r>
        <w:rPr>
          <w:sz w:val="21"/>
          <w:u w:val="single"/>
          <w:rFonts w:eastAsia="Arial" w:cs="Arial" w:ascii="Arial" w:hAnsi="Arial"/>
          <w:color w:val="000080"/>
        </w:rPr>
        <w:fldChar w:fldCharType="end"/>
      </w:r>
      <w:bookmarkStart w:id="73" w:name="_Hlk114504069"/>
      <w:r>
        <w:rPr>
          <w:rFonts w:eastAsia="Arial" w:cs="Arial" w:ascii="Arial" w:hAnsi="Arial"/>
          <w:color w:val="000080"/>
          <w:sz w:val="21"/>
          <w:u w:val="single"/>
        </w:rPr>
        <w:t>Lei nº 14.133, de 2021</w:t>
      </w:r>
      <w:bookmarkEnd w:id="73"/>
      <w:r>
        <w:rPr>
          <w:rFonts w:eastAsia="Arial" w:cs="Arial" w:ascii="Arial" w:hAnsi="Arial"/>
          <w:sz w:val="21"/>
          <w:szCs w:val="21"/>
        </w:rPr>
        <w:t>);</w:t>
      </w:r>
    </w:p>
    <w:p>
      <w:pPr>
        <w:pStyle w:val="Normal"/>
        <w:numPr>
          <w:ilvl w:val="0"/>
          <w:numId w:val="9"/>
        </w:numPr>
        <w:tabs>
          <w:tab w:val="clear" w:pos="708"/>
          <w:tab w:val="left" w:pos="851" w:leader="none"/>
        </w:tabs>
        <w:spacing w:before="0" w:after="120"/>
        <w:ind w:left="709" w:hanging="0"/>
        <w:contextualSpacing/>
        <w:jc w:val="both"/>
        <w:rPr/>
      </w:pPr>
      <w:r>
        <w:rPr>
          <w:rFonts w:eastAsia="Arial" w:cs="Arial" w:ascii="Arial" w:hAnsi="Arial"/>
          <w:b/>
          <w:bCs/>
          <w:sz w:val="21"/>
          <w:szCs w:val="21"/>
        </w:rPr>
        <w:t>Impedimento de licitar e contratar</w:t>
      </w:r>
      <w:r>
        <w:rPr>
          <w:rFonts w:eastAsia="Arial" w:cs="Arial" w:ascii="Arial" w:hAnsi="Arial"/>
          <w:sz w:val="21"/>
          <w:szCs w:val="21"/>
        </w:rPr>
        <w:t>, quando praticadas as condutas descritas nas alíneas “b”, “c” e “d” do subitem acima desta Ata de Registro de Preços, sempre que não se justificar a imposição de penalidade mais grave (</w:t>
      </w:r>
      <w:r>
        <w:fldChar w:fldCharType="begin"/>
      </w:r>
      <w:r>
        <w:rPr>
          <w:sz w:val="21"/>
          <w:u w:val="single"/>
          <w:rFonts w:eastAsia="Arial" w:cs="Arial" w:ascii="Arial" w:hAnsi="Arial"/>
          <w:color w:val="000080"/>
        </w:rPr>
        <w:instrText> HYPERLINK "http://www.planalto.gov.br/ccivil_03/_ato2019-2022/2021/lei/L14133.htm" \l "art156§4"</w:instrText>
      </w:r>
      <w:r>
        <w:rPr>
          <w:sz w:val="21"/>
          <w:u w:val="single"/>
          <w:rFonts w:eastAsia="Arial" w:cs="Arial" w:ascii="Arial" w:hAnsi="Arial"/>
          <w:color w:val="000080"/>
        </w:rPr>
        <w:fldChar w:fldCharType="separate"/>
      </w:r>
      <w:r>
        <w:rPr>
          <w:rFonts w:eastAsia="Arial" w:cs="Arial" w:ascii="Arial" w:hAnsi="Arial"/>
          <w:color w:val="000080"/>
          <w:sz w:val="21"/>
          <w:u w:val="single"/>
        </w:rPr>
        <w:t>art. 156, § 4º, da Lei nº 14.133, de 2021</w:t>
      </w:r>
      <w:r>
        <w:rPr>
          <w:sz w:val="21"/>
          <w:u w:val="single"/>
          <w:rFonts w:eastAsia="Arial" w:cs="Arial" w:ascii="Arial" w:hAnsi="Arial"/>
          <w:color w:val="000080"/>
        </w:rPr>
        <w:fldChar w:fldCharType="end"/>
      </w:r>
      <w:r>
        <w:rPr>
          <w:rFonts w:eastAsia="Arial" w:cs="Arial" w:ascii="Arial" w:hAnsi="Arial"/>
          <w:sz w:val="21"/>
          <w:szCs w:val="21"/>
        </w:rPr>
        <w:t>);</w:t>
      </w:r>
    </w:p>
    <w:p>
      <w:pPr>
        <w:pStyle w:val="Normal"/>
        <w:numPr>
          <w:ilvl w:val="0"/>
          <w:numId w:val="9"/>
        </w:numPr>
        <w:tabs>
          <w:tab w:val="clear" w:pos="708"/>
          <w:tab w:val="left" w:pos="851" w:leader="none"/>
        </w:tabs>
        <w:spacing w:before="0" w:after="120"/>
        <w:ind w:left="709" w:hanging="0"/>
        <w:contextualSpacing/>
        <w:jc w:val="both"/>
        <w:rPr/>
      </w:pPr>
      <w:r>
        <w:rPr>
          <w:rFonts w:eastAsia="Arial" w:cs="Arial" w:ascii="Arial" w:hAnsi="Arial"/>
          <w:b/>
          <w:bCs/>
          <w:sz w:val="21"/>
          <w:szCs w:val="21"/>
        </w:rPr>
        <w:t>Declaração de inidoneidade para licitar e contratar</w:t>
      </w:r>
      <w:r>
        <w:rPr>
          <w:rFonts w:eastAsia="Arial" w:cs="Arial" w:ascii="Arial" w:hAnsi="Arial"/>
          <w:sz w:val="21"/>
          <w:szCs w:val="21"/>
        </w:rPr>
        <w:t xml:space="preserve">, quando praticadas as condutas descritas nas alíneas “e”, “f”, “g” e “h” do subitem acima desta Ata de Registro de Preços </w:t>
      </w:r>
      <w:r>
        <w:rPr>
          <w:rFonts w:eastAsia="Arial" w:cs="Arial" w:ascii="Arial" w:hAnsi="Arial"/>
          <w:strike/>
          <w:sz w:val="21"/>
          <w:szCs w:val="21"/>
        </w:rPr>
        <w:t>deste Contrato</w:t>
      </w:r>
      <w:r>
        <w:rPr>
          <w:rFonts w:eastAsia="Arial" w:cs="Arial" w:ascii="Arial" w:hAnsi="Arial"/>
          <w:sz w:val="21"/>
          <w:szCs w:val="21"/>
        </w:rPr>
        <w:t>, bem como nas alíneas “b”, “c” e “d”, que justifiquem a imposição de penalidade mais grave (</w:t>
      </w:r>
      <w:r>
        <w:fldChar w:fldCharType="begin"/>
      </w:r>
      <w:r>
        <w:rPr>
          <w:sz w:val="21"/>
          <w:u w:val="single"/>
          <w:rFonts w:eastAsia="Arial" w:cs="Arial" w:ascii="Arial" w:hAnsi="Arial"/>
          <w:color w:val="000080"/>
        </w:rPr>
        <w:instrText> HYPERLINK "http://www.planalto.gov.br/ccivil_03/_ato2019-2022/2021/lei/L14133.htm" \l "art156§5"</w:instrText>
      </w:r>
      <w:r>
        <w:rPr>
          <w:sz w:val="21"/>
          <w:u w:val="single"/>
          <w:rFonts w:eastAsia="Arial" w:cs="Arial" w:ascii="Arial" w:hAnsi="Arial"/>
          <w:color w:val="000080"/>
        </w:rPr>
        <w:fldChar w:fldCharType="separate"/>
      </w:r>
      <w:r>
        <w:rPr>
          <w:rFonts w:eastAsia="Arial" w:cs="Arial" w:ascii="Arial" w:hAnsi="Arial"/>
          <w:color w:val="000080"/>
          <w:sz w:val="21"/>
          <w:u w:val="single"/>
        </w:rPr>
        <w:t>art. 156, §5º, da Lei nº 14.133, de 2021</w:t>
      </w:r>
      <w:r>
        <w:rPr>
          <w:sz w:val="21"/>
          <w:u w:val="single"/>
          <w:rFonts w:eastAsia="Arial" w:cs="Arial" w:ascii="Arial" w:hAnsi="Arial"/>
          <w:color w:val="000080"/>
        </w:rPr>
        <w:fldChar w:fldCharType="end"/>
      </w:r>
      <w:r>
        <w:rPr>
          <w:rFonts w:eastAsia="Arial" w:cs="Arial" w:ascii="Arial" w:hAnsi="Arial"/>
          <w:sz w:val="21"/>
          <w:szCs w:val="21"/>
        </w:rPr>
        <w:t>);</w:t>
      </w:r>
    </w:p>
    <w:p>
      <w:pPr>
        <w:pStyle w:val="Normal"/>
        <w:numPr>
          <w:ilvl w:val="0"/>
          <w:numId w:val="9"/>
        </w:numPr>
        <w:tabs>
          <w:tab w:val="clear" w:pos="708"/>
          <w:tab w:val="left" w:pos="851" w:leader="none"/>
        </w:tabs>
        <w:spacing w:before="0" w:after="120"/>
        <w:ind w:left="709" w:hanging="0"/>
        <w:contextualSpacing/>
        <w:jc w:val="both"/>
        <w:rPr>
          <w:rFonts w:ascii="Arial" w:hAnsi="Arial" w:eastAsia="Arial" w:cs="Arial"/>
          <w:b/>
          <w:b/>
          <w:bCs/>
          <w:sz w:val="21"/>
          <w:szCs w:val="21"/>
        </w:rPr>
      </w:pPr>
      <w:r>
        <w:rPr>
          <w:rFonts w:eastAsia="Arial" w:cs="Arial" w:ascii="Arial" w:hAnsi="Arial"/>
          <w:b/>
          <w:bCs/>
          <w:sz w:val="21"/>
          <w:szCs w:val="21"/>
        </w:rPr>
        <w:t>Multa:</w:t>
      </w:r>
    </w:p>
    <w:p>
      <w:pPr>
        <w:pStyle w:val="Normal"/>
        <w:numPr>
          <w:ilvl w:val="1"/>
          <w:numId w:val="9"/>
        </w:numPr>
        <w:tabs>
          <w:tab w:val="clear" w:pos="708"/>
          <w:tab w:val="left" w:pos="709" w:leader="none"/>
        </w:tabs>
        <w:spacing w:before="0" w:after="120"/>
        <w:ind w:left="426" w:hanging="0"/>
        <w:contextualSpacing/>
        <w:jc w:val="both"/>
        <w:rPr/>
      </w:pPr>
      <w:r>
        <w:rPr>
          <w:rFonts w:eastAsia="Arial" w:cs="Arial" w:ascii="Arial" w:hAnsi="Arial"/>
          <w:color w:val="000000"/>
          <w:sz w:val="21"/>
          <w:szCs w:val="21"/>
        </w:rPr>
        <w:t xml:space="preserve">Moratória de </w:t>
      </w:r>
      <w:commentRangeStart w:id="54"/>
      <w:r>
        <w:rPr>
          <w:rFonts w:eastAsia="Arial" w:cs="Arial" w:ascii="Arial" w:hAnsi="Arial"/>
          <w:color w:val="000000"/>
          <w:sz w:val="21"/>
          <w:szCs w:val="21"/>
        </w:rPr>
        <w:t>0,3% (zero vírgula três por cento)</w:t>
      </w:r>
      <w:r>
        <w:rPr>
          <w:rFonts w:eastAsia="Arial" w:cs="Arial" w:ascii="Arial" w:hAnsi="Arial"/>
          <w:color w:val="000000"/>
          <w:sz w:val="21"/>
          <w:szCs w:val="21"/>
        </w:rPr>
      </w:r>
      <w:commentRangeEnd w:id="54"/>
      <w:r>
        <w:commentReference w:id="54"/>
      </w:r>
      <w:r>
        <w:rPr>
          <w:rFonts w:eastAsia="Arial" w:cs="Arial" w:ascii="Arial" w:hAnsi="Arial"/>
          <w:color w:val="000000"/>
          <w:sz w:val="21"/>
          <w:szCs w:val="21"/>
        </w:rPr>
        <w:t xml:space="preserve"> por dia de atraso injustificado sobre o valor da parcela inadimplida, 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w:t>
      </w:r>
      <w:r>
        <w:rPr>
          <w:rFonts w:eastAsia="Arial" w:cs="Arial" w:ascii="Arial" w:hAnsi="Arial"/>
          <w:sz w:val="21"/>
          <w:szCs w:val="21"/>
        </w:rPr>
        <w:t>cisão unilateral da avença; a partir do 31º (trigésimo primeiro) será cabível a multa compensatória.</w:t>
      </w:r>
    </w:p>
    <w:p>
      <w:pPr>
        <w:pStyle w:val="ListParagraph"/>
        <w:numPr>
          <w:ilvl w:val="1"/>
          <w:numId w:val="9"/>
        </w:numPr>
        <w:tabs>
          <w:tab w:val="clear" w:pos="708"/>
          <w:tab w:val="left" w:pos="284" w:leader="none"/>
        </w:tabs>
        <w:spacing w:lineRule="auto" w:line="276" w:before="120" w:after="120"/>
        <w:ind w:left="397" w:hanging="0"/>
        <w:contextualSpacing/>
        <w:jc w:val="both"/>
        <w:rPr/>
      </w:pPr>
      <w:r>
        <w:rPr>
          <w:rFonts w:eastAsia="Arial" w:cs="Arial" w:ascii="Arial" w:hAnsi="Arial"/>
          <w:sz w:val="21"/>
          <w:szCs w:val="21"/>
        </w:rPr>
        <w:t xml:space="preserve">Compensatória, para as infrações descritas nas alíneas “e” a “h”do subitem 9.3, de 15% a 30 % do valor da </w:t>
      </w:r>
      <w:commentRangeStart w:id="55"/>
      <w:r>
        <w:rPr>
          <w:rFonts w:eastAsia="Arial" w:cs="Arial" w:ascii="Arial" w:hAnsi="Arial"/>
          <w:sz w:val="21"/>
          <w:szCs w:val="21"/>
        </w:rPr>
        <w:t>Nota de Empenho</w:t>
      </w:r>
      <w:r>
        <w:rPr>
          <w:rFonts w:eastAsia="Arial" w:cs="Arial" w:ascii="Arial" w:hAnsi="Arial"/>
          <w:sz w:val="21"/>
          <w:szCs w:val="21"/>
        </w:rPr>
      </w:r>
      <w:commentRangeEnd w:id="55"/>
      <w:r>
        <w:commentReference w:id="55"/>
      </w:r>
      <w:r>
        <w:rPr>
          <w:rFonts w:eastAsia="Arial" w:cs="Arial" w:ascii="Arial" w:hAnsi="Arial"/>
          <w:sz w:val="21"/>
          <w:szCs w:val="21"/>
        </w:rPr>
        <w:t>.</w:t>
      </w:r>
    </w:p>
    <w:p>
      <w:pPr>
        <w:pStyle w:val="ListParagraph"/>
        <w:numPr>
          <w:ilvl w:val="1"/>
          <w:numId w:val="9"/>
        </w:numPr>
        <w:tabs>
          <w:tab w:val="clear" w:pos="708"/>
          <w:tab w:val="left" w:pos="284" w:leader="none"/>
        </w:tabs>
        <w:spacing w:lineRule="auto" w:line="276" w:before="120" w:after="120"/>
        <w:ind w:left="454" w:hanging="0"/>
        <w:contextualSpacing/>
        <w:jc w:val="both"/>
        <w:rPr>
          <w:rFonts w:ascii="Arial" w:hAnsi="Arial" w:eastAsia="Arial" w:cs="Arial"/>
          <w:sz w:val="21"/>
          <w:szCs w:val="21"/>
        </w:rPr>
      </w:pPr>
      <w:r>
        <w:rPr>
          <w:rFonts w:eastAsia="Arial" w:cs="Arial" w:ascii="Arial" w:hAnsi="Arial"/>
          <w:sz w:val="21"/>
          <w:szCs w:val="21"/>
        </w:rPr>
        <w:t xml:space="preserve">Compensatória, para a inexecução total do contrato prevista na alínea “c” do subitem 9.3, de 15% a 30%  do valor da Nota de Empenho. </w:t>
      </w:r>
    </w:p>
    <w:p>
      <w:pPr>
        <w:pStyle w:val="ListParagraph"/>
        <w:numPr>
          <w:ilvl w:val="1"/>
          <w:numId w:val="9"/>
        </w:numPr>
        <w:tabs>
          <w:tab w:val="clear" w:pos="708"/>
          <w:tab w:val="left" w:pos="284" w:leader="none"/>
          <w:tab w:val="left" w:pos="400" w:leader="none"/>
        </w:tabs>
        <w:spacing w:lineRule="auto" w:line="276" w:before="120" w:after="120"/>
        <w:ind w:left="454" w:hanging="0"/>
        <w:contextualSpacing/>
        <w:jc w:val="both"/>
        <w:rPr>
          <w:rFonts w:ascii="Arial" w:hAnsi="Arial" w:eastAsia="Arial" w:cs="Arial"/>
          <w:sz w:val="21"/>
          <w:szCs w:val="21"/>
        </w:rPr>
      </w:pPr>
      <w:r>
        <w:rPr>
          <w:rFonts w:eastAsia="Arial" w:cs="Arial" w:ascii="Arial" w:hAnsi="Arial"/>
          <w:sz w:val="21"/>
          <w:szCs w:val="21"/>
        </w:rPr>
        <w:t>Para infração descrita na alínea “b” do subitem 9.3, a multa será de 5% a 15%  do valor da Nota de Empenho.</w:t>
      </w:r>
    </w:p>
    <w:p>
      <w:pPr>
        <w:pStyle w:val="ListParagraph"/>
        <w:numPr>
          <w:ilvl w:val="1"/>
          <w:numId w:val="9"/>
        </w:numPr>
        <w:tabs>
          <w:tab w:val="clear" w:pos="708"/>
          <w:tab w:val="left" w:pos="284" w:leader="none"/>
        </w:tabs>
        <w:spacing w:lineRule="auto" w:line="276" w:before="120" w:after="120"/>
        <w:ind w:left="454" w:hanging="0"/>
        <w:contextualSpacing/>
        <w:jc w:val="both"/>
        <w:rPr>
          <w:rFonts w:ascii="Arial" w:hAnsi="Arial" w:eastAsia="Arial" w:cs="Arial"/>
          <w:sz w:val="21"/>
          <w:szCs w:val="21"/>
        </w:rPr>
      </w:pPr>
      <w:r>
        <w:rPr>
          <w:rFonts w:eastAsia="Arial" w:cs="Arial" w:ascii="Arial" w:hAnsi="Arial"/>
          <w:sz w:val="21"/>
          <w:szCs w:val="21"/>
        </w:rPr>
        <w:t>Para infrações descritas na alínea “d” do subitem 9.3, a multa será de 5% a 15%  do valor da Nota de Empenho.</w:t>
      </w:r>
    </w:p>
    <w:p>
      <w:pPr>
        <w:pStyle w:val="ListParagraph"/>
        <w:numPr>
          <w:ilvl w:val="1"/>
          <w:numId w:val="9"/>
        </w:numPr>
        <w:tabs>
          <w:tab w:val="clear" w:pos="708"/>
          <w:tab w:val="left" w:pos="284" w:leader="none"/>
        </w:tabs>
        <w:spacing w:lineRule="auto" w:line="276" w:before="120" w:after="120"/>
        <w:ind w:left="454" w:hanging="0"/>
        <w:contextualSpacing/>
        <w:jc w:val="both"/>
        <w:rPr/>
      </w:pPr>
      <w:r>
        <w:rPr>
          <w:rFonts w:eastAsia="Arial" w:cs="Arial" w:ascii="Arial" w:hAnsi="Arial"/>
          <w:sz w:val="21"/>
          <w:szCs w:val="21"/>
        </w:rPr>
        <w:t>Para a infração descrita na alínea “a” do subitem 9.3, a multa será de 5% a 15% do valor da Nota de Empenho.</w:t>
      </w:r>
      <w:r>
        <w:rPr/>
        <w:commentReference w:id="56"/>
      </w:r>
    </w:p>
    <w:p>
      <w:pPr>
        <w:pStyle w:val="Nivel2"/>
        <w:numPr>
          <w:ilvl w:val="1"/>
          <w:numId w:val="1"/>
        </w:numPr>
        <w:tabs>
          <w:tab w:val="left" w:pos="0" w:leader="none"/>
          <w:tab w:val="left" w:pos="426" w:leader="none"/>
        </w:tabs>
        <w:ind w:left="0" w:hanging="0"/>
        <w:rPr>
          <w:rFonts w:eastAsia="MS Mincho"/>
        </w:rPr>
      </w:pPr>
      <w:r>
        <w:rPr>
          <w:rFonts w:eastAsia="MS Mincho"/>
        </w:rPr>
        <w:t>Para a aplicação de qualquer penalidade contratual será imprescindível a prévia instauração do devido processo administrativo sancionatório, assegurando-se o contraditório e ampla defesa, nos termos da Lei 14.133, de 2021 e do Decreto Municipal n.° 5.807, de 2023.</w:t>
      </w:r>
    </w:p>
    <w:p>
      <w:pPr>
        <w:pStyle w:val="Nivel01"/>
        <w:numPr>
          <w:ilvl w:val="0"/>
          <w:numId w:val="1"/>
        </w:numPr>
        <w:ind w:left="0" w:right="0" w:hanging="0"/>
        <w:rPr/>
      </w:pPr>
      <w:r>
        <w:rPr>
          <w:sz w:val="21"/>
          <w:szCs w:val="21"/>
        </w:rPr>
        <w:t>CONDIÇÕES GERAIS</w:t>
      </w:r>
    </w:p>
    <w:p>
      <w:pPr>
        <w:pStyle w:val="Nivel2"/>
        <w:numPr>
          <w:ilvl w:val="1"/>
          <w:numId w:val="1"/>
        </w:numPr>
        <w:tabs>
          <w:tab w:val="left" w:pos="0" w:leader="none"/>
          <w:tab w:val="left" w:pos="1134" w:leader="none"/>
        </w:tabs>
        <w:ind w:left="0" w:hanging="0"/>
        <w:rPr>
          <w:sz w:val="21"/>
          <w:szCs w:val="21"/>
        </w:rPr>
      </w:pPr>
      <w:r>
        <w:rPr>
          <w:sz w:val="21"/>
          <w:szCs w:val="21"/>
        </w:rPr>
        <w:t>As condições gerais de execução do objeto, tais como os prazos para entrega e recebimento, as obrigações da Administração e do fornecedor registrado, penalidades e demais condições do ajuste, encontram-se definidos no Edital ou no Termo de Referência, anexo ao Edital.</w:t>
      </w:r>
    </w:p>
    <w:p>
      <w:pPr>
        <w:pStyle w:val="Nvel2Red"/>
        <w:numPr>
          <w:ilvl w:val="1"/>
          <w:numId w:val="1"/>
        </w:numPr>
        <w:tabs>
          <w:tab w:val="left" w:pos="0" w:leader="none"/>
          <w:tab w:val="left" w:pos="1134" w:leader="none"/>
        </w:tabs>
        <w:ind w:left="0" w:hanging="0"/>
        <w:rPr>
          <w:i w:val="false"/>
          <w:i w:val="false"/>
          <w:iCs w:val="false"/>
          <w:color w:val="000000"/>
        </w:rPr>
      </w:pPr>
      <w:r>
        <w:rPr>
          <w:i w:val="false"/>
          <w:iCs w:val="false"/>
          <w:color w:val="000000"/>
          <w:sz w:val="21"/>
          <w:szCs w:val="21"/>
        </w:rPr>
        <w:t>No caso de adjudicação por preço global de grupo de itens, só será admitida a contratação de parte de itens do grupo se houver prévia pesquisa de mercado e demonstração de sua vantagem para o Município.</w:t>
      </w:r>
    </w:p>
    <w:p>
      <w:pPr>
        <w:pStyle w:val="Nivel01"/>
        <w:numPr>
          <w:ilvl w:val="0"/>
          <w:numId w:val="1"/>
        </w:numPr>
        <w:ind w:left="0" w:right="0" w:hanging="0"/>
        <w:rPr/>
      </w:pPr>
      <w:r>
        <w:rPr>
          <w:sz w:val="21"/>
          <w:szCs w:val="21"/>
        </w:rPr>
        <w:t>DA GESTÃO E FISCALIZAÇÃO DA ATA DE REGISTRO DE PREÇOS</w:t>
      </w:r>
    </w:p>
    <w:p>
      <w:pPr>
        <w:pStyle w:val="Nivel2"/>
        <w:numPr>
          <w:ilvl w:val="1"/>
          <w:numId w:val="1"/>
        </w:numPr>
        <w:tabs>
          <w:tab w:val="left" w:pos="0" w:leader="none"/>
          <w:tab w:val="left" w:pos="1134" w:leader="none"/>
        </w:tabs>
        <w:ind w:left="0" w:hanging="0"/>
        <w:rPr>
          <w:sz w:val="21"/>
          <w:szCs w:val="21"/>
        </w:rPr>
      </w:pPr>
      <w:r>
        <w:rPr>
          <w:sz w:val="21"/>
          <w:szCs w:val="21"/>
        </w:rPr>
        <w:t>A fiscalização da Ata de Registro de Preços seguirá a IN 18/2019- CSCI.</w:t>
      </w:r>
    </w:p>
    <w:p>
      <w:pPr>
        <w:pStyle w:val="Nivel2"/>
        <w:numPr>
          <w:ilvl w:val="1"/>
          <w:numId w:val="1"/>
        </w:numPr>
        <w:tabs>
          <w:tab w:val="left" w:pos="0" w:leader="none"/>
          <w:tab w:val="left" w:pos="1134" w:leader="none"/>
        </w:tabs>
        <w:ind w:left="0" w:hanging="0"/>
        <w:rPr>
          <w:sz w:val="21"/>
          <w:szCs w:val="21"/>
        </w:rPr>
      </w:pPr>
      <w:r>
        <w:rPr>
          <w:sz w:val="21"/>
          <w:szCs w:val="21"/>
        </w:rPr>
        <w:t>Para a gestão e fiscalização desta Ata pela Administração foram designados os seguintes servidores, conforme Portaria n.° 11/2024-SEMUTTRAN:</w:t>
      </w:r>
    </w:p>
    <w:p>
      <w:pPr>
        <w:pStyle w:val="Nivel2"/>
        <w:ind w:left="0" w:hanging="0"/>
        <w:rPr>
          <w:szCs w:val="21"/>
        </w:rPr>
      </w:pPr>
      <w:r>
        <w:rPr>
          <w:b/>
          <w:szCs w:val="21"/>
        </w:rPr>
        <w:t xml:space="preserve">GESTOR: </w:t>
      </w:r>
      <w:r>
        <w:rPr>
          <w:szCs w:val="21"/>
        </w:rPr>
        <w:t>Marcelo José da Cruz, Matrícula Funcional n.º 11605.</w:t>
      </w:r>
    </w:p>
    <w:p>
      <w:pPr>
        <w:pStyle w:val="Nivel2"/>
        <w:ind w:left="0" w:hanging="0"/>
        <w:rPr>
          <w:szCs w:val="21"/>
        </w:rPr>
      </w:pPr>
      <w:r>
        <w:rPr>
          <w:b/>
          <w:szCs w:val="21"/>
        </w:rPr>
        <w:t xml:space="preserve">GESTORA SUPLENTE: </w:t>
      </w:r>
      <w:r>
        <w:rPr>
          <w:szCs w:val="21"/>
        </w:rPr>
        <w:t>Patrícia Margarete Rocha Borges, Matrícula Funcional n.º 11164.</w:t>
      </w:r>
    </w:p>
    <w:p>
      <w:pPr>
        <w:pStyle w:val="Nivel2"/>
        <w:ind w:left="0" w:hanging="0"/>
        <w:rPr>
          <w:szCs w:val="21"/>
        </w:rPr>
      </w:pPr>
      <w:r>
        <w:rPr>
          <w:b/>
          <w:szCs w:val="21"/>
        </w:rPr>
        <w:t>FISCAL:</w:t>
      </w:r>
      <w:r>
        <w:rPr>
          <w:szCs w:val="21"/>
        </w:rPr>
        <w:t xml:space="preserve"> Rodrigo Emanoel Sochacewski, Matrícula Funcional n.º 20817.</w:t>
      </w:r>
    </w:p>
    <w:p>
      <w:pPr>
        <w:pStyle w:val="Nivel2"/>
        <w:tabs>
          <w:tab w:val="left" w:pos="0" w:leader="none"/>
          <w:tab w:val="left" w:pos="851" w:leader="none"/>
        </w:tabs>
        <w:spacing w:before="0" w:after="240"/>
        <w:ind w:left="0" w:hanging="0"/>
        <w:rPr/>
      </w:pPr>
      <w:r>
        <w:rPr>
          <w:b/>
          <w:sz w:val="21"/>
          <w:szCs w:val="21"/>
        </w:rPr>
        <w:t xml:space="preserve">FISCAL SUPLENTE: </w:t>
      </w:r>
      <w:r>
        <w:rPr>
          <w:sz w:val="21"/>
          <w:szCs w:val="21"/>
        </w:rPr>
        <w:t xml:space="preserve">Pedro Angelo da Silva Neto, Matrícula Funcional n.º 21935. </w:t>
      </w:r>
    </w:p>
    <w:p>
      <w:pPr>
        <w:pStyle w:val="Nivel2"/>
        <w:numPr>
          <w:ilvl w:val="1"/>
          <w:numId w:val="1"/>
        </w:numPr>
        <w:tabs>
          <w:tab w:val="left" w:pos="0" w:leader="none"/>
          <w:tab w:val="left" w:pos="1134" w:leader="none"/>
        </w:tabs>
        <w:ind w:left="0" w:hanging="0"/>
        <w:rPr>
          <w:sz w:val="21"/>
          <w:szCs w:val="21"/>
        </w:rPr>
      </w:pPr>
      <w:r>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pPr>
        <w:pStyle w:val="Nivel01"/>
        <w:numPr>
          <w:ilvl w:val="0"/>
          <w:numId w:val="1"/>
        </w:numPr>
        <w:tabs>
          <w:tab w:val="clear" w:pos="708"/>
          <w:tab w:val="left" w:pos="0" w:leader="none"/>
          <w:tab w:val="left" w:pos="426" w:leader="none"/>
        </w:tabs>
        <w:ind w:left="0" w:right="0" w:hanging="0"/>
        <w:rPr>
          <w:sz w:val="21"/>
          <w:szCs w:val="21"/>
        </w:rPr>
      </w:pPr>
      <w:r>
        <w:rPr>
          <w:sz w:val="21"/>
          <w:szCs w:val="21"/>
        </w:rPr>
        <w:t>DO FORO</w:t>
      </w:r>
    </w:p>
    <w:p>
      <w:pPr>
        <w:pStyle w:val="Nivel2"/>
        <w:numPr>
          <w:ilvl w:val="1"/>
          <w:numId w:val="1"/>
        </w:numPr>
        <w:tabs>
          <w:tab w:val="left" w:pos="0" w:leader="none"/>
          <w:tab w:val="left" w:pos="567" w:leader="none"/>
        </w:tabs>
        <w:ind w:left="0" w:hanging="0"/>
        <w:rPr/>
      </w:pPr>
      <w:r>
        <w:rPr>
          <w:sz w:val="21"/>
          <w:szCs w:val="21"/>
          <w:lang w:eastAsia="en-US"/>
        </w:rPr>
        <w:t xml:space="preserve">Fica eleito o </w:t>
      </w:r>
      <w:r>
        <w:rPr>
          <w:b/>
          <w:sz w:val="21"/>
          <w:szCs w:val="21"/>
        </w:rPr>
        <w:t>Foro da Cidade de São José dos Pinhais, Estado do Paraná</w:t>
      </w:r>
      <w:r>
        <w:rPr>
          <w:sz w:val="21"/>
          <w:szCs w:val="21"/>
        </w:rPr>
        <w:t>, para dirimir os litígios que decorrerem da execução desta Ata de Registro de Preços que não puderem ser compostos pela conciliação.</w:t>
      </w:r>
    </w:p>
    <w:p>
      <w:pPr>
        <w:pStyle w:val="Nivel2"/>
        <w:tabs>
          <w:tab w:val="left" w:pos="0" w:leader="none"/>
          <w:tab w:val="left" w:pos="567" w:leader="none"/>
        </w:tabs>
        <w:ind w:left="0" w:hanging="0"/>
        <w:rPr>
          <w:sz w:val="21"/>
          <w:szCs w:val="21"/>
        </w:rPr>
      </w:pPr>
      <w:r>
        <w:rPr>
          <w:sz w:val="21"/>
          <w:szCs w:val="21"/>
        </w:rPr>
      </w:r>
    </w:p>
    <w:p>
      <w:pPr>
        <w:pStyle w:val="Nivel2"/>
        <w:tabs>
          <w:tab w:val="left" w:pos="0" w:leader="none"/>
          <w:tab w:val="left" w:pos="567" w:leader="none"/>
        </w:tabs>
        <w:ind w:left="0" w:hanging="0"/>
        <w:rPr>
          <w:sz w:val="21"/>
          <w:szCs w:val="21"/>
        </w:rPr>
      </w:pPr>
      <w:r>
        <w:rPr>
          <w:sz w:val="21"/>
          <w:szCs w:val="21"/>
        </w:rPr>
      </w:r>
    </w:p>
    <w:p>
      <w:pPr>
        <w:pStyle w:val="Nivel2"/>
        <w:numPr>
          <w:ilvl w:val="1"/>
          <w:numId w:val="1"/>
        </w:numPr>
        <w:tabs>
          <w:tab w:val="left" w:pos="0" w:leader="none"/>
          <w:tab w:val="left" w:pos="567" w:leader="none"/>
        </w:tabs>
        <w:ind w:left="0" w:hanging="0"/>
        <w:rPr>
          <w:sz w:val="21"/>
          <w:szCs w:val="21"/>
        </w:rPr>
      </w:pPr>
      <w:r>
        <w:rPr>
          <w:sz w:val="21"/>
          <w:szCs w:val="21"/>
        </w:rPr>
        <w:t>Para firmeza e validade do pactuado, depois de lida e achada em ordem, vai a presente Ata assinada pelas partes.</w:t>
      </w:r>
    </w:p>
    <w:p>
      <w:pPr>
        <w:pStyle w:val="Nivel2"/>
        <w:tabs>
          <w:tab w:val="clear" w:pos="0"/>
          <w:tab w:val="left" w:pos="-142" w:leader="none"/>
        </w:tabs>
        <w:spacing w:before="0" w:after="240"/>
        <w:ind w:left="0" w:hanging="0"/>
        <w:jc w:val="right"/>
        <w:rPr>
          <w:i/>
          <w:i/>
          <w:iCs/>
          <w:sz w:val="21"/>
          <w:szCs w:val="21"/>
        </w:rPr>
      </w:pPr>
      <w:r>
        <w:rPr>
          <w:i/>
          <w:iCs/>
          <w:sz w:val="21"/>
          <w:szCs w:val="21"/>
        </w:rPr>
      </w:r>
    </w:p>
    <w:p>
      <w:pPr>
        <w:pStyle w:val="Nivel2"/>
        <w:tabs>
          <w:tab w:val="clear" w:pos="0"/>
          <w:tab w:val="left" w:pos="-142" w:leader="none"/>
        </w:tabs>
        <w:spacing w:before="0" w:after="240"/>
        <w:ind w:left="0" w:hanging="0"/>
        <w:jc w:val="right"/>
        <w:rPr/>
      </w:pPr>
      <w:r>
        <w:rPr>
          <w:i/>
          <w:iCs/>
          <w:sz w:val="21"/>
          <w:szCs w:val="21"/>
        </w:rPr>
        <w:t>São José dos Pinhais,</w:t>
      </w:r>
      <w:r>
        <w:rPr>
          <w:i/>
          <w:iCs/>
          <w:color w:val="FF0000"/>
          <w:sz w:val="21"/>
          <w:szCs w:val="21"/>
        </w:rPr>
        <w:t>[dia]</w:t>
      </w:r>
      <w:r>
        <w:rPr>
          <w:i/>
          <w:iCs/>
          <w:sz w:val="21"/>
          <w:szCs w:val="21"/>
        </w:rPr>
        <w:t>de</w:t>
      </w:r>
      <w:r>
        <w:rPr>
          <w:i/>
          <w:iCs/>
          <w:color w:val="FF0000"/>
          <w:sz w:val="21"/>
          <w:szCs w:val="21"/>
        </w:rPr>
        <w:t xml:space="preserve">[mês] </w:t>
      </w:r>
      <w:r>
        <w:rPr>
          <w:i/>
          <w:iCs/>
          <w:sz w:val="21"/>
          <w:szCs w:val="21"/>
        </w:rPr>
        <w:t>de</w:t>
      </w:r>
      <w:r>
        <w:rPr>
          <w:i/>
          <w:iCs/>
          <w:color w:val="FF0000"/>
          <w:sz w:val="21"/>
          <w:szCs w:val="21"/>
        </w:rPr>
        <w:t>[ano].</w:t>
      </w:r>
    </w:p>
    <w:p>
      <w:pPr>
        <w:pStyle w:val="Normal"/>
        <w:widowControl w:val="false"/>
        <w:suppressLineNumbers/>
        <w:tabs>
          <w:tab w:val="clear" w:pos="708"/>
          <w:tab w:val="left" w:pos="-142" w:leader="none"/>
          <w:tab w:val="left" w:pos="0" w:leader="none"/>
        </w:tabs>
        <w:spacing w:lineRule="auto" w:line="276"/>
        <w:jc w:val="both"/>
        <w:rPr>
          <w:rFonts w:ascii="Arial" w:hAnsi="Arial" w:cs="Arial"/>
          <w:b/>
          <w:b/>
          <w:sz w:val="21"/>
          <w:szCs w:val="21"/>
        </w:rPr>
      </w:pPr>
      <w:r>
        <w:rPr>
          <w:rFonts w:cs="Arial" w:ascii="Arial" w:hAnsi="Arial"/>
          <w:b/>
          <w:sz w:val="21"/>
          <w:szCs w:val="21"/>
        </w:rPr>
        <w:t>TESTEMUNHAS:</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t>MARGARIDA MARIA SINGER</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t>PREFEITA MUNICIPAL</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t>SECRETARIO MUNICIPAL DE__________</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t>DETENTORA DA ATA</w:t>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tab/>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jc w:val="center"/>
        <w:rPr/>
      </w:pPr>
      <w:commentRangeStart w:id="57"/>
      <w:r>
        <w:rPr>
          <w:rFonts w:cs="Arial" w:ascii="Arial" w:hAnsi="Arial"/>
          <w:color w:val="000000"/>
          <w:sz w:val="21"/>
          <w:szCs w:val="21"/>
        </w:rPr>
        <w:t>Anexo I da Ata de Registro de Preços</w:t>
      </w:r>
      <w:commentRangeEnd w:id="57"/>
      <w:r>
        <w:commentReference w:id="57"/>
      </w: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t>Cadastro Reserva</w:t>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tbl>
      <w:tblPr>
        <w:tblW w:w="9388" w:type="dxa"/>
        <w:jc w:val="left"/>
        <w:tblInd w:w="-2" w:type="dxa"/>
        <w:tblLayout w:type="fixed"/>
        <w:tblCellMar>
          <w:top w:w="0" w:type="dxa"/>
          <w:left w:w="10" w:type="dxa"/>
          <w:bottom w:w="0" w:type="dxa"/>
          <w:right w:w="10" w:type="dxa"/>
        </w:tblCellMar>
        <w:tblLook w:val="0000"/>
      </w:tblPr>
      <w:tblGrid>
        <w:gridCol w:w="565"/>
        <w:gridCol w:w="3684"/>
        <w:gridCol w:w="1191"/>
        <w:gridCol w:w="1137"/>
        <w:gridCol w:w="1537"/>
        <w:gridCol w:w="1273"/>
      </w:tblGrid>
      <w:tr>
        <w:trPr>
          <w:trHeight w:val="400" w:hRule="atLeast"/>
        </w:trPr>
        <w:tc>
          <w:tcPr>
            <w:tcW w:w="9387" w:type="dxa"/>
            <w:gridSpan w:val="6"/>
            <w:tcBorders>
              <w:top w:val="single" w:sz="2" w:space="0" w:color="000000"/>
              <w:left w:val="single" w:sz="2" w:space="0" w:color="000000"/>
              <w:bottom w:val="single" w:sz="2" w:space="0" w:color="000000"/>
              <w:right w:val="single" w:sz="2" w:space="0" w:color="000000"/>
            </w:tcBorders>
            <w:shd w:color="auto" w:fill="D9D9D9" w:val="clear"/>
            <w:vAlign w:val="center"/>
          </w:tcPr>
          <w:p>
            <w:pPr>
              <w:pStyle w:val="Normal"/>
              <w:widowControl w:val="false"/>
              <w:ind w:right="-30" w:hanging="0"/>
              <w:jc w:val="center"/>
              <w:rPr>
                <w:rFonts w:ascii="Arial" w:hAnsi="Arial" w:cs="Arial"/>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tc>
      </w:tr>
      <w:tr>
        <w:trPr>
          <w:trHeight w:val="388" w:hRule="atLeast"/>
        </w:trPr>
        <w:tc>
          <w:tcPr>
            <w:tcW w:w="9387" w:type="dxa"/>
            <w:gridSpan w:val="6"/>
            <w:tcBorders>
              <w:left w:val="single" w:sz="2" w:space="0" w:color="000000"/>
              <w:bottom w:val="single" w:sz="2" w:space="0" w:color="000000"/>
              <w:right w:val="single" w:sz="2" w:space="0" w:color="000000"/>
            </w:tcBorders>
            <w:shd w:color="auto" w:fill="D9D9D9" w:val="clear"/>
            <w:vAlign w:val="center"/>
          </w:tcPr>
          <w:p>
            <w:pPr>
              <w:pStyle w:val="Normal"/>
              <w:widowControl w:val="false"/>
              <w:ind w:right="-30" w:hanging="0"/>
              <w:jc w:val="center"/>
              <w:rPr>
                <w:rFonts w:ascii="Arial" w:hAnsi="Arial" w:cs="Arial"/>
                <w:b/>
                <w:b/>
                <w:bCs/>
                <w:sz w:val="18"/>
                <w:szCs w:val="18"/>
              </w:rPr>
            </w:pPr>
            <w:r>
              <w:rPr>
                <w:rFonts w:cs="Arial" w:ascii="Arial" w:hAnsi="Arial"/>
                <w:b/>
                <w:bCs/>
                <w:sz w:val="18"/>
                <w:szCs w:val="18"/>
              </w:rPr>
              <w:t>LOTE (GRUPO)</w:t>
            </w:r>
          </w:p>
        </w:tc>
      </w:tr>
      <w:tr>
        <w:trPr>
          <w:trHeight w:val="674" w:hRule="atLeast"/>
        </w:trPr>
        <w:tc>
          <w:tcPr>
            <w:tcW w:w="565" w:type="dxa"/>
            <w:tcBorders>
              <w:left w:val="single" w:sz="2" w:space="0" w:color="000000"/>
              <w:bottom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ITEM</w:t>
            </w:r>
          </w:p>
        </w:tc>
        <w:tc>
          <w:tcPr>
            <w:tcW w:w="3684" w:type="dxa"/>
            <w:tcBorders>
              <w:left w:val="single" w:sz="2" w:space="0" w:color="000000"/>
              <w:bottom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ESPECIFICAÇÃO TÉCNICA</w:t>
            </w:r>
          </w:p>
        </w:tc>
        <w:tc>
          <w:tcPr>
            <w:tcW w:w="1191" w:type="dxa"/>
            <w:tcBorders>
              <w:left w:val="single" w:sz="2" w:space="0" w:color="000000"/>
              <w:bottom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UNID. MEDIDA</w:t>
            </w:r>
          </w:p>
        </w:tc>
        <w:tc>
          <w:tcPr>
            <w:tcW w:w="1137" w:type="dxa"/>
            <w:tcBorders>
              <w:left w:val="single" w:sz="2" w:space="0" w:color="000000"/>
              <w:bottom w:val="single" w:sz="2" w:space="0" w:color="000000"/>
              <w:right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QTD.</w:t>
            </w:r>
          </w:p>
        </w:tc>
        <w:tc>
          <w:tcPr>
            <w:tcW w:w="1537" w:type="dxa"/>
            <w:tcBorders>
              <w:left w:val="single" w:sz="2" w:space="0" w:color="000000"/>
              <w:bottom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VALOR UNITÁRIO (R$)</w:t>
            </w:r>
          </w:p>
        </w:tc>
        <w:tc>
          <w:tcPr>
            <w:tcW w:w="1273" w:type="dxa"/>
            <w:tcBorders>
              <w:left w:val="single" w:sz="2" w:space="0" w:color="000000"/>
              <w:bottom w:val="single" w:sz="2" w:space="0" w:color="000000"/>
              <w:right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VALOR TOTAL (R$)</w:t>
            </w:r>
          </w:p>
        </w:tc>
      </w:tr>
      <w:tr>
        <w:trPr>
          <w:trHeight w:val="174" w:hRule="atLeast"/>
        </w:trPr>
        <w:tc>
          <w:tcPr>
            <w:tcW w:w="565"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3684"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91"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37"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537"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73"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t>Seguindo a ordem de classificação, segue relação de fornecedores que mantiveram sua proposta original:</w:t>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tbl>
      <w:tblPr>
        <w:tblW w:w="9388" w:type="dxa"/>
        <w:jc w:val="left"/>
        <w:tblInd w:w="-2" w:type="dxa"/>
        <w:tblLayout w:type="fixed"/>
        <w:tblCellMar>
          <w:top w:w="0" w:type="dxa"/>
          <w:left w:w="10" w:type="dxa"/>
          <w:bottom w:w="0" w:type="dxa"/>
          <w:right w:w="10" w:type="dxa"/>
        </w:tblCellMar>
        <w:tblLook w:val="0000"/>
      </w:tblPr>
      <w:tblGrid>
        <w:gridCol w:w="565"/>
        <w:gridCol w:w="3684"/>
        <w:gridCol w:w="1191"/>
        <w:gridCol w:w="1137"/>
        <w:gridCol w:w="1537"/>
        <w:gridCol w:w="1273"/>
      </w:tblGrid>
      <w:tr>
        <w:trPr>
          <w:trHeight w:val="400" w:hRule="atLeast"/>
        </w:trPr>
        <w:tc>
          <w:tcPr>
            <w:tcW w:w="9387" w:type="dxa"/>
            <w:gridSpan w:val="6"/>
            <w:tcBorders>
              <w:top w:val="single" w:sz="2" w:space="0" w:color="000000"/>
              <w:left w:val="single" w:sz="2" w:space="0" w:color="000000"/>
              <w:bottom w:val="single" w:sz="2" w:space="0" w:color="000000"/>
              <w:right w:val="single" w:sz="2" w:space="0" w:color="000000"/>
            </w:tcBorders>
            <w:shd w:color="auto" w:fill="D9D9D9" w:val="clear"/>
            <w:vAlign w:val="center"/>
          </w:tcPr>
          <w:p>
            <w:pPr>
              <w:pStyle w:val="Normal"/>
              <w:widowControl w:val="false"/>
              <w:ind w:right="-30" w:hanging="0"/>
              <w:jc w:val="center"/>
              <w:rPr>
                <w:rFonts w:ascii="Arial" w:hAnsi="Arial" w:cs="Arial"/>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tc>
      </w:tr>
      <w:tr>
        <w:trPr>
          <w:trHeight w:val="388" w:hRule="atLeast"/>
        </w:trPr>
        <w:tc>
          <w:tcPr>
            <w:tcW w:w="9387" w:type="dxa"/>
            <w:gridSpan w:val="6"/>
            <w:tcBorders>
              <w:left w:val="single" w:sz="2" w:space="0" w:color="000000"/>
              <w:bottom w:val="single" w:sz="2" w:space="0" w:color="000000"/>
              <w:right w:val="single" w:sz="2" w:space="0" w:color="000000"/>
            </w:tcBorders>
            <w:shd w:color="auto" w:fill="D9D9D9" w:val="clear"/>
            <w:vAlign w:val="center"/>
          </w:tcPr>
          <w:p>
            <w:pPr>
              <w:pStyle w:val="Normal"/>
              <w:widowControl w:val="false"/>
              <w:ind w:right="-30" w:hanging="0"/>
              <w:jc w:val="center"/>
              <w:rPr>
                <w:rFonts w:ascii="Arial" w:hAnsi="Arial" w:cs="Arial"/>
                <w:b/>
                <w:b/>
                <w:bCs/>
                <w:sz w:val="18"/>
                <w:szCs w:val="18"/>
              </w:rPr>
            </w:pPr>
            <w:r>
              <w:rPr>
                <w:rFonts w:cs="Arial" w:ascii="Arial" w:hAnsi="Arial"/>
                <w:b/>
                <w:bCs/>
                <w:sz w:val="18"/>
                <w:szCs w:val="18"/>
              </w:rPr>
              <w:t>LOTE (GRUPO)</w:t>
            </w:r>
          </w:p>
        </w:tc>
      </w:tr>
      <w:tr>
        <w:trPr>
          <w:trHeight w:val="674" w:hRule="atLeast"/>
        </w:trPr>
        <w:tc>
          <w:tcPr>
            <w:tcW w:w="565" w:type="dxa"/>
            <w:tcBorders>
              <w:left w:val="single" w:sz="2" w:space="0" w:color="000000"/>
              <w:bottom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ITEM</w:t>
            </w:r>
          </w:p>
        </w:tc>
        <w:tc>
          <w:tcPr>
            <w:tcW w:w="3684" w:type="dxa"/>
            <w:tcBorders>
              <w:left w:val="single" w:sz="2" w:space="0" w:color="000000"/>
              <w:bottom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ESPECIFICAÇÃO TÉCNICA</w:t>
            </w:r>
          </w:p>
        </w:tc>
        <w:tc>
          <w:tcPr>
            <w:tcW w:w="1191" w:type="dxa"/>
            <w:tcBorders>
              <w:left w:val="single" w:sz="2" w:space="0" w:color="000000"/>
              <w:bottom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UNID. MEDIDA</w:t>
            </w:r>
          </w:p>
        </w:tc>
        <w:tc>
          <w:tcPr>
            <w:tcW w:w="1137" w:type="dxa"/>
            <w:tcBorders>
              <w:left w:val="single" w:sz="2" w:space="0" w:color="000000"/>
              <w:bottom w:val="single" w:sz="2" w:space="0" w:color="000000"/>
              <w:right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QTD.</w:t>
            </w:r>
          </w:p>
        </w:tc>
        <w:tc>
          <w:tcPr>
            <w:tcW w:w="1537" w:type="dxa"/>
            <w:tcBorders>
              <w:left w:val="single" w:sz="2" w:space="0" w:color="000000"/>
              <w:bottom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VALOR UNITÁRIO (R$)</w:t>
            </w:r>
          </w:p>
        </w:tc>
        <w:tc>
          <w:tcPr>
            <w:tcW w:w="1273" w:type="dxa"/>
            <w:tcBorders>
              <w:left w:val="single" w:sz="2" w:space="0" w:color="000000"/>
              <w:bottom w:val="single" w:sz="2" w:space="0" w:color="000000"/>
              <w:right w:val="single" w:sz="2" w:space="0" w:color="000000"/>
            </w:tcBorders>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VALOR TOTAL (R$)</w:t>
            </w:r>
          </w:p>
        </w:tc>
      </w:tr>
      <w:tr>
        <w:trPr>
          <w:trHeight w:val="174" w:hRule="atLeast"/>
        </w:trPr>
        <w:tc>
          <w:tcPr>
            <w:tcW w:w="565"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3684"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91"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37"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537"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73"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r>
    </w:tbl>
    <w:p>
      <w:pPr>
        <w:pStyle w:val="Normal"/>
        <w:spacing w:lineRule="auto" w:line="312" w:before="288" w:after="288"/>
        <w:ind w:firstLine="567"/>
        <w:rPr/>
      </w:pPr>
      <w:r>
        <w:rPr/>
      </w:r>
    </w:p>
    <w:p>
      <w:pPr>
        <w:pStyle w:val="Normal"/>
        <w:spacing w:lineRule="auto" w:line="312" w:before="288" w:after="288"/>
        <w:ind w:firstLine="567"/>
        <w:rPr/>
      </w:pPr>
      <w:r>
        <w:rPr/>
      </w:r>
    </w:p>
    <w:p>
      <w:pPr>
        <w:pStyle w:val="Normal"/>
        <w:spacing w:lineRule="auto" w:line="312" w:before="288" w:after="288"/>
        <w:ind w:firstLine="567"/>
        <w:rPr/>
      </w:pPr>
      <w:r>
        <w:rPr/>
      </w:r>
    </w:p>
    <w:p>
      <w:pPr>
        <w:pStyle w:val="Normal"/>
        <w:spacing w:lineRule="auto" w:line="312" w:before="288" w:after="288"/>
        <w:ind w:firstLine="567"/>
        <w:rPr/>
      </w:pPr>
      <w:r>
        <w:rPr/>
      </w:r>
    </w:p>
    <w:p>
      <w:pPr>
        <w:pStyle w:val="Normal"/>
        <w:spacing w:lineRule="auto" w:line="312" w:before="288" w:after="288"/>
        <w:ind w:firstLine="567"/>
        <w:rPr/>
      </w:pPr>
      <w:r>
        <w:rPr/>
      </w:r>
    </w:p>
    <w:p>
      <w:pPr>
        <w:pStyle w:val="Normal"/>
        <w:spacing w:lineRule="auto" w:line="312" w:before="288" w:after="288"/>
        <w:ind w:firstLine="567"/>
        <w:rPr/>
      </w:pPr>
      <w:r>
        <w:rPr/>
      </w:r>
    </w:p>
    <w:p>
      <w:pPr>
        <w:pStyle w:val="Normal"/>
        <w:spacing w:lineRule="auto" w:line="312" w:before="288" w:after="288"/>
        <w:ind w:firstLine="567"/>
        <w:rPr/>
      </w:pPr>
      <w:r>
        <w:rPr/>
      </w:r>
    </w:p>
    <w:p>
      <w:pPr>
        <w:pStyle w:val="Normal"/>
        <w:spacing w:lineRule="auto" w:line="312" w:before="288" w:after="288"/>
        <w:ind w:firstLine="567"/>
        <w:rPr>
          <w:rFonts w:ascii="Arial" w:hAnsi="Arial"/>
          <w:sz w:val="18"/>
          <w:szCs w:val="18"/>
        </w:rPr>
      </w:pPr>
      <w:r>
        <w:rPr>
          <w:rFonts w:ascii="Arial" w:hAnsi="Arial"/>
          <w:sz w:val="18"/>
          <w:szCs w:val="18"/>
        </w:rPr>
      </w:r>
    </w:p>
    <w:p>
      <w:pPr>
        <w:pStyle w:val="Nivel3"/>
        <w:tabs>
          <w:tab w:val="clear" w:pos="0"/>
        </w:tabs>
        <w:spacing w:before="0" w:after="240"/>
        <w:ind w:left="2629" w:hanging="0"/>
        <w:jc w:val="center"/>
        <w:rPr>
          <w:color w:val="000000"/>
        </w:rPr>
      </w:pPr>
      <w:r>
        <w:rPr>
          <w:b/>
          <w:color w:val="000000"/>
          <w:sz w:val="21"/>
          <w:szCs w:val="21"/>
        </w:rPr>
        <w:t>ANEXO V</w:t>
      </w:r>
    </w:p>
    <w:p>
      <w:pPr>
        <w:pStyle w:val="Prembulo"/>
        <w:spacing w:lineRule="auto" w:line="276" w:before="0" w:after="240"/>
        <w:ind w:left="4253" w:right="-17" w:hanging="0"/>
        <w:rPr>
          <w:bCs w:val="false"/>
          <w:sz w:val="21"/>
          <w:szCs w:val="21"/>
        </w:rPr>
      </w:pPr>
      <w:r>
        <w:rPr>
          <w:b/>
          <w:bCs/>
          <w:color w:val="000000"/>
          <w:sz w:val="21"/>
          <w:szCs w:val="21"/>
        </w:rPr>
        <w:t xml:space="preserve">                                                               </w:t>
      </w:r>
      <w:r>
        <w:rPr>
          <w:b/>
          <w:bCs/>
          <w:color w:val="000000"/>
          <w:sz w:val="21"/>
          <w:szCs w:val="21"/>
        </w:rPr>
        <w:t>Minuta do Contrato</w:t>
      </w:r>
    </w:p>
    <w:p>
      <w:pPr>
        <w:pStyle w:val="Prembulo"/>
        <w:spacing w:lineRule="auto" w:line="276" w:before="0" w:after="240"/>
        <w:ind w:left="4253" w:right="-17" w:hanging="0"/>
        <w:rPr>
          <w:bCs w:val="false"/>
          <w:sz w:val="21"/>
          <w:szCs w:val="21"/>
        </w:rPr>
      </w:pPr>
      <w:r>
        <w:rPr>
          <w:bCs w:val="false"/>
          <w:sz w:val="21"/>
          <w:szCs w:val="21"/>
        </w:rPr>
      </w:r>
    </w:p>
    <w:p>
      <w:pPr>
        <w:pStyle w:val="Prembulo"/>
        <w:spacing w:lineRule="auto" w:line="276" w:before="0" w:after="240"/>
        <w:rPr>
          <w:bCs w:val="false"/>
          <w:sz w:val="21"/>
          <w:szCs w:val="21"/>
        </w:rPr>
      </w:pPr>
      <w:r>
        <w:rPr>
          <w:bCs w:val="false"/>
          <w:sz w:val="21"/>
          <w:szCs w:val="21"/>
        </w:rPr>
        <w:t xml:space="preserve">CONTRATO ADMINISTRATIVO Nº ......../...., QUE FAZEM ENTRE SI A PREFEITURA MUNICIPAL DE SÃO JOSÉ DOS PINHAIS E A EMPRESA .............................................................  </w:t>
      </w:r>
    </w:p>
    <w:p>
      <w:pPr>
        <w:pStyle w:val="Normal"/>
        <w:spacing w:lineRule="auto" w:line="276" w:before="0" w:after="240"/>
        <w:ind w:firstLine="567"/>
        <w:jc w:val="center"/>
        <w:rPr>
          <w:rFonts w:ascii="Arial" w:hAnsi="Arial"/>
          <w:b/>
          <w:b/>
          <w:bCs/>
          <w:sz w:val="21"/>
          <w:szCs w:val="21"/>
        </w:rPr>
      </w:pPr>
      <w:r>
        <w:rPr>
          <w:rFonts w:ascii="Arial" w:hAnsi="Arial"/>
          <w:b/>
          <w:bCs/>
          <w:sz w:val="21"/>
          <w:szCs w:val="21"/>
        </w:rPr>
      </w:r>
    </w:p>
    <w:p>
      <w:pPr>
        <w:pStyle w:val="Normal"/>
        <w:spacing w:lineRule="auto" w:line="276" w:before="0" w:after="240"/>
        <w:ind w:firstLine="567"/>
        <w:jc w:val="both"/>
        <w:rPr>
          <w:rFonts w:ascii="Arial" w:hAnsi="Arial" w:eastAsia="Arial" w:cs="Arial"/>
          <w:sz w:val="21"/>
          <w:szCs w:val="21"/>
        </w:rPr>
      </w:pPr>
      <w:r>
        <w:rPr>
          <w:rFonts w:eastAsia="Arial" w:cs="Arial" w:ascii="Arial" w:hAnsi="Arial"/>
          <w:sz w:val="21"/>
          <w:szCs w:val="21"/>
        </w:rPr>
        <w:t xml:space="preserve">O </w:t>
      </w:r>
      <w:r>
        <w:rPr>
          <w:rFonts w:eastAsia="Arial" w:cs="Arial" w:ascii="Arial" w:hAnsi="Arial"/>
          <w:b/>
          <w:sz w:val="21"/>
          <w:szCs w:val="21"/>
        </w:rPr>
        <w:t>Município de São José dos Pinhais</w:t>
      </w:r>
      <w:r>
        <w:rPr>
          <w:rFonts w:eastAsia="Arial" w:cs="Arial" w:ascii="Arial" w:hAnsi="Arial"/>
          <w:sz w:val="21"/>
          <w:szCs w:val="21"/>
        </w:rPr>
        <w:t xml:space="preserve">, pessoa jurídica de direito público interno, com sede na Rua Passos de Oliveira, n. º 1101, Bairro Centro, CEP 83.030-720 e inscrito(a) CNPJ sob n.º 76.105.543/0001-35, neste ato </w:t>
      </w:r>
      <w:commentRangeStart w:id="58"/>
      <w:r>
        <w:rPr>
          <w:rFonts w:eastAsia="Arial" w:cs="Arial" w:ascii="Arial" w:hAnsi="Arial"/>
          <w:sz w:val="21"/>
          <w:szCs w:val="21"/>
        </w:rPr>
        <w:t xml:space="preserve">representado(a) pelo(a) </w:t>
      </w:r>
      <w:r>
        <w:rPr>
          <w:rFonts w:eastAsia="Arial" w:cs="Arial" w:ascii="Arial" w:hAnsi="Arial"/>
          <w:iCs/>
          <w:sz w:val="21"/>
          <w:szCs w:val="21"/>
        </w:rPr>
        <w:t xml:space="preserve">Prefeito(a) Municipal </w:t>
      </w:r>
      <w:r>
        <w:rPr>
          <w:rFonts w:eastAsia="Arial" w:cs="Arial" w:ascii="Arial" w:hAnsi="Arial"/>
          <w:b/>
          <w:iCs/>
          <w:sz w:val="21"/>
          <w:szCs w:val="21"/>
        </w:rPr>
        <w:t>Margarida Maria Singer</w:t>
      </w:r>
      <w:r>
        <w:rPr>
          <w:rFonts w:eastAsia="Arial" w:cs="Arial" w:ascii="Arial" w:hAnsi="Arial"/>
          <w:i/>
          <w:iCs/>
          <w:sz w:val="21"/>
          <w:szCs w:val="21"/>
        </w:rPr>
        <w:t xml:space="preserve">, </w:t>
      </w:r>
      <w:r>
        <w:rPr>
          <w:rFonts w:eastAsia="Arial" w:cs="Arial" w:ascii="Arial" w:hAnsi="Arial"/>
          <w:sz w:val="21"/>
          <w:szCs w:val="21"/>
        </w:rPr>
        <w:t>portador(a) da Matrícula</w:t>
      </w:r>
      <w:r>
        <w:rPr>
          <w:rFonts w:eastAsia="Arial" w:cs="Arial" w:ascii="Arial" w:hAnsi="Arial"/>
          <w:color w:val="000000"/>
          <w:sz w:val="21"/>
          <w:szCs w:val="21"/>
        </w:rPr>
        <w:t xml:space="preserve"> Funcional nº 22282-0, empossado(a) a partir de 01° de janeiro de 2021, e pelo(a)</w:t>
      </w:r>
      <w:r>
        <w:rPr>
          <w:rFonts w:eastAsia="Arial" w:cs="Arial" w:ascii="Arial" w:hAnsi="Arial"/>
          <w:iCs/>
          <w:color w:val="000000"/>
          <w:sz w:val="21"/>
          <w:szCs w:val="21"/>
        </w:rPr>
        <w:t>Secretário(a) Municipal d</w:t>
      </w:r>
      <w:r>
        <w:rPr>
          <w:rFonts w:eastAsia="Arial" w:cs="Arial" w:ascii="Arial" w:hAnsi="Arial"/>
          <w:color w:val="000000"/>
          <w:sz w:val="21"/>
          <w:szCs w:val="21"/>
        </w:rPr>
        <w:t>e Transportes e Trânsito, portador da Matrícula Funcional nº .........., nomeado(a) pela Portaria nº ......, de ..... de ..................... de 20..., publicada no</w:t>
      </w:r>
      <w:r>
        <w:rPr>
          <w:rFonts w:eastAsia="Arial" w:cs="Arial" w:ascii="Arial" w:hAnsi="Arial"/>
          <w:i/>
          <w:iCs/>
          <w:color w:val="000000"/>
          <w:sz w:val="21"/>
          <w:szCs w:val="21"/>
        </w:rPr>
        <w:t xml:space="preserve"> Diário Oficial do Município </w:t>
      </w:r>
      <w:r>
        <w:rPr>
          <w:rFonts w:eastAsia="Arial" w:cs="Arial" w:ascii="Arial" w:hAnsi="Arial"/>
          <w:color w:val="000000"/>
          <w:sz w:val="21"/>
          <w:szCs w:val="21"/>
        </w:rPr>
        <w:t xml:space="preserve">de ..... de ............... de ..........., doravante denominado </w:t>
      </w:r>
      <w:r>
        <w:rPr>
          <w:rFonts w:eastAsia="Arial" w:cs="Arial" w:ascii="Arial" w:hAnsi="Arial"/>
          <w:b/>
          <w:color w:val="000000"/>
          <w:sz w:val="21"/>
          <w:szCs w:val="21"/>
        </w:rPr>
        <w:t>CONTRATANTE</w:t>
      </w:r>
      <w:r>
        <w:rPr>
          <w:rFonts w:eastAsia="Arial" w:cs="Arial" w:ascii="Arial" w:hAnsi="Arial"/>
          <w:color w:val="000000"/>
          <w:sz w:val="21"/>
          <w:szCs w:val="21"/>
        </w:rPr>
        <w:t>, e o(a) profissional/empresa ..............................,</w:t>
      </w:r>
      <w:r>
        <w:rPr>
          <w:rFonts w:eastAsia="Arial" w:cs="Arial" w:ascii="Arial" w:hAnsi="Arial"/>
          <w:i/>
          <w:iCs/>
          <w:color w:val="000000"/>
          <w:sz w:val="21"/>
          <w:szCs w:val="21"/>
        </w:rPr>
        <w:t>inscrito(a) no CNPJ/MF sob o nº ............................, sediado(a) na</w:t>
      </w:r>
      <w:r>
        <w:rPr>
          <w:rFonts w:eastAsia="Arial" w:cs="Arial" w:ascii="Arial" w:hAnsi="Arial"/>
          <w:color w:val="000000"/>
          <w:sz w:val="21"/>
          <w:szCs w:val="21"/>
        </w:rPr>
        <w:t xml:space="preserve">..................................., doravante designado </w:t>
      </w:r>
      <w:r>
        <w:rPr>
          <w:rFonts w:eastAsia="Arial" w:cs="Arial" w:ascii="Arial" w:hAnsi="Arial"/>
          <w:b/>
          <w:color w:val="000000"/>
          <w:sz w:val="21"/>
          <w:szCs w:val="21"/>
        </w:rPr>
        <w:t>CONTRATADO</w:t>
      </w:r>
      <w:r>
        <w:rPr>
          <w:rFonts w:eastAsia="Arial" w:cs="Arial" w:ascii="Arial" w:hAnsi="Arial"/>
          <w:color w:val="000000"/>
          <w:sz w:val="21"/>
          <w:szCs w:val="21"/>
        </w:rPr>
        <w:t xml:space="preserve">, </w:t>
      </w:r>
      <w:r>
        <w:rPr>
          <w:rFonts w:eastAsia="Arial" w:cs="Arial" w:ascii="Arial" w:hAnsi="Arial"/>
          <w:i/>
          <w:iCs/>
          <w:color w:val="000000"/>
          <w:sz w:val="21"/>
          <w:szCs w:val="21"/>
        </w:rPr>
        <w:t>neste ato representado(a) por</w:t>
      </w:r>
      <w:r>
        <w:rPr>
          <w:rFonts w:eastAsia="Arial" w:cs="Arial" w:ascii="Arial" w:hAnsi="Arial"/>
          <w:color w:val="000000"/>
          <w:sz w:val="21"/>
          <w:szCs w:val="21"/>
        </w:rPr>
        <w:t xml:space="preserve">.................................. (nome e função no contrato), </w:t>
      </w:r>
      <w:r>
        <w:rPr>
          <w:rFonts w:eastAsia="Arial" w:cs="Arial" w:ascii="Arial" w:hAnsi="Arial"/>
          <w:i/>
          <w:iCs/>
          <w:color w:val="000000"/>
          <w:sz w:val="21"/>
          <w:szCs w:val="21"/>
        </w:rPr>
        <w:t xml:space="preserve">conforme atos constitutivos da empresa </w:t>
      </w:r>
      <w:r>
        <w:rPr>
          <w:rFonts w:eastAsia="Arial" w:cs="Arial" w:ascii="Arial" w:hAnsi="Arial"/>
          <w:b/>
          <w:bCs/>
          <w:i/>
          <w:iCs/>
          <w:color w:val="000000"/>
          <w:sz w:val="21"/>
          <w:szCs w:val="21"/>
        </w:rPr>
        <w:t>OU</w:t>
      </w:r>
      <w:r>
        <w:rPr>
          <w:rFonts w:eastAsia="Arial" w:cs="Arial" w:ascii="Arial" w:hAnsi="Arial"/>
          <w:i/>
          <w:iCs/>
          <w:color w:val="000000"/>
          <w:sz w:val="21"/>
          <w:szCs w:val="21"/>
        </w:rPr>
        <w:t xml:space="preserve"> procuração a</w:t>
      </w:r>
      <w:r>
        <w:rPr>
          <w:rFonts w:eastAsia="Arial" w:cs="Arial" w:ascii="Arial" w:hAnsi="Arial"/>
          <w:i/>
          <w:iCs/>
          <w:color w:val="000000"/>
          <w:sz w:val="21"/>
          <w:szCs w:val="21"/>
          <w:shd w:fill="FFFFFF" w:val="clear"/>
        </w:rPr>
        <w:t xml:space="preserve">presentada nos autos, </w:t>
      </w:r>
      <w:r>
        <w:rPr>
          <w:rFonts w:eastAsia="Arial" w:cs="Arial" w:ascii="Arial" w:hAnsi="Arial"/>
          <w:i/>
          <w:iCs/>
          <w:color w:val="000000"/>
          <w:sz w:val="21"/>
          <w:szCs w:val="21"/>
          <w:shd w:fill="FFFFFF" w:val="clear"/>
        </w:rPr>
      </w:r>
      <w:commentRangeEnd w:id="58"/>
      <w:r>
        <w:commentReference w:id="58"/>
      </w:r>
      <w:r>
        <w:rPr>
          <w:rFonts w:eastAsia="Arial" w:cs="Arial" w:ascii="Arial" w:hAnsi="Arial"/>
          <w:color w:val="000000"/>
          <w:sz w:val="21"/>
          <w:szCs w:val="21"/>
          <w:shd w:fill="FFFFFF" w:val="clear"/>
        </w:rPr>
        <w:t xml:space="preserve">tendo em vista o que consta na Solicitação de Contratação nº 266/2024 </w:t>
      </w:r>
      <w:r>
        <w:rPr>
          <w:rFonts w:eastAsia="Arial" w:cs="Arial" w:ascii="Arial" w:hAnsi="Arial"/>
          <w:color w:val="000000"/>
          <w:sz w:val="21"/>
          <w:szCs w:val="21"/>
        </w:rPr>
        <w:t xml:space="preserve">e em observância às disposições da </w:t>
      </w:r>
      <w:hyperlink r:id="rId31">
        <w:r>
          <w:rPr>
            <w:rStyle w:val="LinkdaInternet"/>
            <w:rFonts w:eastAsia="Arial" w:cs="Arial" w:ascii="Arial" w:hAnsi="Arial"/>
            <w:color w:val="000000"/>
            <w:sz w:val="21"/>
            <w:szCs w:val="21"/>
          </w:rPr>
          <w:t>Lei nº 14.133, de 1º de abril de 2</w:t>
        </w:r>
        <w:r>
          <w:rPr>
            <w:rStyle w:val="LinkdaInternet"/>
            <w:rFonts w:eastAsia="Arial" w:cs="Arial" w:ascii="Arial" w:hAnsi="Arial"/>
            <w:i w:val="false"/>
            <w:iCs w:val="false"/>
            <w:color w:val="000000"/>
            <w:sz w:val="21"/>
            <w:szCs w:val="21"/>
          </w:rPr>
          <w:t>021</w:t>
        </w:r>
      </w:hyperlink>
      <w:r>
        <w:rPr>
          <w:rFonts w:eastAsia="Arial" w:cs="Arial" w:ascii="Arial" w:hAnsi="Arial"/>
          <w:i w:val="false"/>
          <w:iCs w:val="false"/>
          <w:color w:val="000000"/>
          <w:sz w:val="21"/>
          <w:szCs w:val="21"/>
        </w:rPr>
        <w:t xml:space="preserve">, e demais legislação aplicável, resolvem celebrar o presente Termo de Contrato, decorrente do </w:t>
      </w:r>
      <w:r>
        <w:rPr>
          <w:rFonts w:eastAsia="Arial" w:cs="Arial" w:ascii="Arial" w:hAnsi="Arial"/>
          <w:b/>
          <w:bCs/>
          <w:i w:val="false"/>
          <w:iCs w:val="false"/>
          <w:color w:val="000000"/>
          <w:sz w:val="21"/>
          <w:szCs w:val="21"/>
        </w:rPr>
        <w:t>Pregão Eletrônico n. 093/2024</w:t>
      </w:r>
      <w:r>
        <w:rPr>
          <w:rFonts w:eastAsia="Arial" w:cs="Arial" w:ascii="Arial" w:hAnsi="Arial"/>
          <w:color w:val="000000"/>
          <w:sz w:val="21"/>
          <w:szCs w:val="21"/>
        </w:rPr>
        <w:t>, mediante as cláusulas e condições a seguir enunciadas.</w:t>
      </w:r>
    </w:p>
    <w:p>
      <w:pPr>
        <w:pStyle w:val="Nivel01"/>
        <w:numPr>
          <w:ilvl w:val="0"/>
          <w:numId w:val="190"/>
        </w:numPr>
        <w:spacing w:lineRule="auto" w:line="276" w:before="0" w:after="240"/>
        <w:ind w:left="0" w:right="0" w:hanging="0"/>
        <w:rPr>
          <w:color w:val="FFFFFF" w:themeColor="background1"/>
          <w:sz w:val="21"/>
          <w:szCs w:val="21"/>
        </w:rPr>
      </w:pPr>
      <w:r>
        <w:rPr>
          <w:sz w:val="21"/>
          <w:szCs w:val="21"/>
        </w:rPr>
        <w:t>CLÁUSULA PRIMEIRA – OBJETO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I e II</w:t>
      </w:r>
      <w:r>
        <w:rPr>
          <w:rStyle w:val="LinkdaInternet"/>
          <w:sz w:val="21"/>
          <w:szCs w:val="21"/>
        </w:rPr>
        <w:fldChar w:fldCharType="end"/>
      </w:r>
      <w:r>
        <w:rPr>
          <w:sz w:val="21"/>
          <w:szCs w:val="21"/>
        </w:rPr>
        <w:t>)</w:t>
      </w:r>
    </w:p>
    <w:p>
      <w:pPr>
        <w:pStyle w:val="Nivel2"/>
        <w:numPr>
          <w:ilvl w:val="1"/>
          <w:numId w:val="191"/>
        </w:numPr>
        <w:tabs>
          <w:tab w:val="left" w:pos="0" w:leader="none"/>
          <w:tab w:val="left" w:pos="993" w:leader="none"/>
        </w:tabs>
        <w:ind w:left="0" w:firstLine="567"/>
        <w:rPr>
          <w:szCs w:val="21"/>
        </w:rPr>
      </w:pPr>
      <w:r>
        <w:rPr>
          <w:szCs w:val="21"/>
        </w:rPr>
        <w:t xml:space="preserve">O objeto do presente instrumento é o </w:t>
      </w:r>
      <w:r>
        <w:rPr>
          <w:bCs/>
          <w:szCs w:val="21"/>
        </w:rPr>
        <w:t>fornecimento de equipamentos e serviços para implantação de dispositivos de segurança aos transeuntes em via pública e demais pontos que necessitem de advertência complementar nas vias públicas do Município de São José dos Pinhais</w:t>
      </w:r>
      <w:r>
        <w:rPr>
          <w:szCs w:val="21"/>
        </w:rPr>
        <w:t>, nas condições estabelecidas no Termo de Referência.</w:t>
      </w:r>
    </w:p>
    <w:p>
      <w:pPr>
        <w:pStyle w:val="Nivel2"/>
        <w:numPr>
          <w:ilvl w:val="1"/>
          <w:numId w:val="192"/>
        </w:numPr>
        <w:tabs>
          <w:tab w:val="left" w:pos="0" w:leader="none"/>
          <w:tab w:val="left" w:pos="993" w:leader="none"/>
        </w:tabs>
        <w:ind w:left="0" w:firstLine="567"/>
        <w:rPr>
          <w:szCs w:val="21"/>
        </w:rPr>
      </w:pPr>
      <w:r>
        <w:rPr>
          <w:szCs w:val="21"/>
        </w:rPr>
        <w:t>Objeto da contratação:</w:t>
      </w:r>
    </w:p>
    <w:tbl>
      <w:tblPr>
        <w:tblW w:w="8896" w:type="dxa"/>
        <w:jc w:val="left"/>
        <w:tblInd w:w="-80" w:type="dxa"/>
        <w:tblLayout w:type="fixed"/>
        <w:tblCellMar>
          <w:top w:w="0" w:type="dxa"/>
          <w:left w:w="70" w:type="dxa"/>
          <w:bottom w:w="0" w:type="dxa"/>
          <w:right w:w="70" w:type="dxa"/>
        </w:tblCellMar>
        <w:tblLook w:val="0000"/>
      </w:tblPr>
      <w:tblGrid>
        <w:gridCol w:w="612"/>
        <w:gridCol w:w="3819"/>
        <w:gridCol w:w="1072"/>
        <w:gridCol w:w="685"/>
        <w:gridCol w:w="1185"/>
        <w:gridCol w:w="1522"/>
      </w:tblGrid>
      <w:tr>
        <w:trPr>
          <w:trHeight w:val="231" w:hRule="atLeast"/>
        </w:trPr>
        <w:tc>
          <w:tcPr>
            <w:tcW w:w="8895" w:type="dxa"/>
            <w:gridSpan w:val="6"/>
            <w:tcBorders>
              <w:top w:val="single" w:sz="4" w:space="0" w:color="000000"/>
              <w:left w:val="single" w:sz="8" w:space="0" w:color="000000"/>
              <w:bottom w:val="single" w:sz="4" w:space="0" w:color="000000"/>
              <w:right w:val="single" w:sz="4" w:space="0" w:color="000000"/>
            </w:tcBorders>
            <w:shd w:color="auto" w:fill="DDDDDD" w:val="clear"/>
            <w:vAlign w:val="center"/>
          </w:tcPr>
          <w:p>
            <w:pPr>
              <w:pStyle w:val="Normal"/>
              <w:widowControl w:val="false"/>
              <w:ind w:left="340" w:hanging="0"/>
              <w:jc w:val="center"/>
              <w:rPr>
                <w:rFonts w:ascii="Arial" w:hAnsi="Arial" w:cs="Arial"/>
                <w:b/>
                <w:b/>
                <w:bCs/>
                <w:color w:val="000000"/>
                <w:sz w:val="18"/>
                <w:szCs w:val="18"/>
              </w:rPr>
            </w:pPr>
            <w:r>
              <w:rPr>
                <w:rFonts w:cs="Arial" w:ascii="Arial" w:hAnsi="Arial"/>
                <w:b/>
                <w:bCs/>
                <w:color w:val="000000"/>
                <w:sz w:val="18"/>
                <w:szCs w:val="18"/>
              </w:rPr>
              <w:t>LOTE (GRUPO)</w:t>
            </w:r>
          </w:p>
        </w:tc>
      </w:tr>
      <w:tr>
        <w:trPr>
          <w:trHeight w:val="566" w:hRule="atLeast"/>
        </w:trPr>
        <w:tc>
          <w:tcPr>
            <w:tcW w:w="612" w:type="dxa"/>
            <w:tcBorders>
              <w:top w:val="single" w:sz="8" w:space="0" w:color="000000"/>
              <w:left w:val="single" w:sz="8" w:space="0" w:color="000000"/>
              <w:bottom w:val="single" w:sz="4"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ITEM</w:t>
            </w:r>
          </w:p>
        </w:tc>
        <w:tc>
          <w:tcPr>
            <w:tcW w:w="3819" w:type="dxa"/>
            <w:tcBorders>
              <w:top w:val="single" w:sz="8" w:space="0" w:color="000000"/>
              <w:left w:val="single" w:sz="8" w:space="0" w:color="000000"/>
              <w:bottom w:val="single" w:sz="4"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ESPECIFICAÇÃO TÉCNICA</w:t>
            </w:r>
          </w:p>
        </w:tc>
        <w:tc>
          <w:tcPr>
            <w:tcW w:w="1072" w:type="dxa"/>
            <w:tcBorders>
              <w:top w:val="single" w:sz="8" w:space="0" w:color="000000"/>
              <w:left w:val="single" w:sz="8" w:space="0" w:color="000000"/>
              <w:bottom w:val="single" w:sz="4"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UNID. MEDIDA</w:t>
            </w:r>
          </w:p>
        </w:tc>
        <w:tc>
          <w:tcPr>
            <w:tcW w:w="685" w:type="dxa"/>
            <w:tcBorders>
              <w:top w:val="single" w:sz="8" w:space="0" w:color="000000"/>
              <w:left w:val="single" w:sz="8" w:space="0" w:color="000000"/>
              <w:bottom w:val="single" w:sz="4"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QTD.</w:t>
            </w:r>
          </w:p>
        </w:tc>
        <w:tc>
          <w:tcPr>
            <w:tcW w:w="1185" w:type="dxa"/>
            <w:tcBorders>
              <w:top w:val="single" w:sz="8" w:space="0" w:color="000000"/>
              <w:left w:val="single" w:sz="8" w:space="0" w:color="000000"/>
              <w:bottom w:val="single" w:sz="4"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VALOR UNITÁRIO (R$)</w:t>
            </w:r>
          </w:p>
        </w:tc>
        <w:tc>
          <w:tcPr>
            <w:tcW w:w="1522" w:type="dxa"/>
            <w:tcBorders>
              <w:top w:val="single" w:sz="8" w:space="0" w:color="000000"/>
              <w:left w:val="single" w:sz="8" w:space="0" w:color="000000"/>
              <w:bottom w:val="single" w:sz="4" w:space="0" w:color="000000"/>
              <w:right w:val="single" w:sz="8" w:space="0" w:color="000000"/>
            </w:tcBorders>
            <w:shd w:color="auto" w:fill="DDDDDD"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VALOR TOTAL (R$)</w:t>
            </w:r>
          </w:p>
        </w:tc>
      </w:tr>
      <w:tr>
        <w:trPr>
          <w:trHeight w:val="206" w:hRule="atLeast"/>
        </w:trPr>
        <w:tc>
          <w:tcPr>
            <w:tcW w:w="612" w:type="dxa"/>
            <w:tcBorders>
              <w:left w:val="single" w:sz="8" w:space="0" w:color="000000"/>
              <w:bottom w:val="single" w:sz="4" w:space="0" w:color="000000"/>
            </w:tcBorders>
            <w:shd w:color="auto" w:fill="FFFFFF"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r>
          </w:p>
        </w:tc>
        <w:tc>
          <w:tcPr>
            <w:tcW w:w="3819" w:type="dxa"/>
            <w:tcBorders>
              <w:left w:val="single" w:sz="8" w:space="0" w:color="000000"/>
              <w:bottom w:val="single" w:sz="4" w:space="0" w:color="000000"/>
            </w:tcBorders>
            <w:shd w:color="auto" w:fill="FFFFFF"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r>
          </w:p>
        </w:tc>
        <w:tc>
          <w:tcPr>
            <w:tcW w:w="1072" w:type="dxa"/>
            <w:tcBorders>
              <w:left w:val="single" w:sz="8" w:space="0" w:color="000000"/>
              <w:bottom w:val="single" w:sz="4" w:space="0" w:color="000000"/>
            </w:tcBorders>
            <w:shd w:color="auto" w:fill="FFFFFF"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r>
          </w:p>
        </w:tc>
        <w:tc>
          <w:tcPr>
            <w:tcW w:w="685" w:type="dxa"/>
            <w:tcBorders>
              <w:left w:val="single" w:sz="8" w:space="0" w:color="000000"/>
              <w:bottom w:val="single" w:sz="4" w:space="0" w:color="000000"/>
            </w:tcBorders>
            <w:shd w:color="auto" w:fill="FFFFFF"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r>
          </w:p>
        </w:tc>
        <w:tc>
          <w:tcPr>
            <w:tcW w:w="1185" w:type="dxa"/>
            <w:tcBorders>
              <w:left w:val="single" w:sz="8" w:space="0" w:color="000000"/>
              <w:bottom w:val="single" w:sz="4" w:space="0" w:color="000000"/>
            </w:tcBorders>
            <w:shd w:color="auto" w:fill="FFFFFF"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r>
          </w:p>
        </w:tc>
        <w:tc>
          <w:tcPr>
            <w:tcW w:w="1522" w:type="dxa"/>
            <w:tcBorders>
              <w:left w:val="single" w:sz="8" w:space="0" w:color="000000"/>
              <w:bottom w:val="single" w:sz="4" w:space="0" w:color="000000"/>
              <w:right w:val="single" w:sz="8" w:space="0" w:color="000000"/>
            </w:tcBorders>
            <w:shd w:color="auto" w:fill="FFFFFF" w:val="clear"/>
            <w:tcMar>
              <w:top w:w="55" w:type="dxa"/>
              <w:bottom w:w="55" w:type="dxa"/>
            </w:tcMar>
            <w:vAlign w:val="center"/>
          </w:tcPr>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r>
          </w:p>
        </w:tc>
      </w:tr>
      <w:tr>
        <w:trPr>
          <w:trHeight w:val="231" w:hRule="atLeast"/>
        </w:trPr>
        <w:tc>
          <w:tcPr>
            <w:tcW w:w="8895" w:type="dxa"/>
            <w:gridSpan w:val="6"/>
            <w:tcBorders>
              <w:left w:val="single" w:sz="8" w:space="0" w:color="000000"/>
              <w:bottom w:val="single" w:sz="8" w:space="0" w:color="000000"/>
              <w:right w:val="single" w:sz="8" w:space="0" w:color="000000"/>
            </w:tcBorders>
            <w:shd w:color="auto" w:fill="DDDDDD" w:val="clear"/>
            <w:tcMar>
              <w:top w:w="55" w:type="dxa"/>
              <w:bottom w:w="55" w:type="dxa"/>
            </w:tcMar>
            <w:vAlign w:val="center"/>
          </w:tcPr>
          <w:p>
            <w:pPr>
              <w:pStyle w:val="Normal"/>
              <w:widowControl w:val="false"/>
              <w:suppressLineNumbers/>
              <w:spacing w:lineRule="auto" w:line="276"/>
              <w:jc w:val="both"/>
              <w:rPr>
                <w:rFonts w:ascii="Arial" w:hAnsi="Arial" w:eastAsia="Times New Roman" w:cs="Arial"/>
                <w:b/>
                <w:b/>
                <w:bCs/>
                <w:color w:val="000000"/>
                <w:sz w:val="18"/>
                <w:szCs w:val="18"/>
              </w:rPr>
            </w:pPr>
            <w:r>
              <w:rPr>
                <w:rFonts w:eastAsia="Times New Roman" w:cs="Arial" w:ascii="Arial" w:hAnsi="Arial"/>
                <w:b/>
                <w:bCs/>
                <w:color w:val="000000"/>
                <w:sz w:val="18"/>
                <w:szCs w:val="18"/>
              </w:rPr>
              <w:t>VALOR TOTAL: R$ ---- (em algarismos e por extenso)</w:t>
            </w:r>
          </w:p>
        </w:tc>
      </w:tr>
    </w:tbl>
    <w:p>
      <w:pPr>
        <w:pStyle w:val="Nivel2"/>
        <w:tabs>
          <w:tab w:val="clear" w:pos="0"/>
          <w:tab w:val="left" w:pos="993" w:leader="none"/>
        </w:tabs>
        <w:ind w:left="360" w:hanging="0"/>
        <w:rPr>
          <w:sz w:val="12"/>
          <w:szCs w:val="12"/>
        </w:rPr>
      </w:pPr>
      <w:r>
        <w:rPr>
          <w:sz w:val="12"/>
          <w:szCs w:val="12"/>
        </w:rPr>
      </w:r>
    </w:p>
    <w:p>
      <w:pPr>
        <w:pStyle w:val="Nivel2"/>
        <w:numPr>
          <w:ilvl w:val="1"/>
          <w:numId w:val="193"/>
        </w:numPr>
        <w:tabs>
          <w:tab w:val="left" w:pos="0" w:leader="none"/>
          <w:tab w:val="left" w:pos="993" w:leader="none"/>
        </w:tabs>
        <w:ind w:left="0" w:firstLine="567"/>
        <w:rPr>
          <w:szCs w:val="21"/>
        </w:rPr>
      </w:pPr>
      <w:r>
        <w:rPr>
          <w:szCs w:val="21"/>
        </w:rPr>
        <w:t>Vinculam esta contratação, independentemente de transcrição:</w:t>
      </w:r>
    </w:p>
    <w:p>
      <w:pPr>
        <w:pStyle w:val="Nivel3"/>
        <w:numPr>
          <w:ilvl w:val="2"/>
          <w:numId w:val="194"/>
        </w:numPr>
        <w:tabs>
          <w:tab w:val="left" w:pos="0" w:leader="none"/>
          <w:tab w:val="left" w:pos="1701" w:leader="none"/>
        </w:tabs>
        <w:spacing w:lineRule="auto" w:line="240" w:before="0" w:after="240"/>
        <w:ind w:left="567" w:firstLine="567"/>
        <w:rPr/>
      </w:pPr>
      <w:r>
        <w:rPr>
          <w:sz w:val="21"/>
          <w:szCs w:val="21"/>
        </w:rPr>
        <w:t>O Termo de Referência.</w:t>
      </w:r>
    </w:p>
    <w:p>
      <w:pPr>
        <w:pStyle w:val="Nivel3"/>
        <w:numPr>
          <w:ilvl w:val="2"/>
          <w:numId w:val="195"/>
        </w:numPr>
        <w:tabs>
          <w:tab w:val="left" w:pos="0" w:leader="none"/>
          <w:tab w:val="left" w:pos="1701" w:leader="none"/>
        </w:tabs>
        <w:spacing w:lineRule="auto" w:line="240" w:before="0" w:after="240"/>
        <w:ind w:left="567" w:firstLine="567"/>
        <w:rPr/>
      </w:pPr>
      <w:r>
        <w:rPr>
          <w:sz w:val="21"/>
          <w:szCs w:val="21"/>
        </w:rPr>
        <w:t>O Edital da Licitação.</w:t>
      </w:r>
    </w:p>
    <w:p>
      <w:pPr>
        <w:pStyle w:val="Nivel3"/>
        <w:numPr>
          <w:ilvl w:val="2"/>
          <w:numId w:val="196"/>
        </w:numPr>
        <w:tabs>
          <w:tab w:val="left" w:pos="0" w:leader="none"/>
          <w:tab w:val="left" w:pos="1701" w:leader="none"/>
        </w:tabs>
        <w:spacing w:lineRule="auto" w:line="240" w:before="0" w:after="240"/>
        <w:ind w:left="567" w:firstLine="567"/>
        <w:rPr/>
      </w:pPr>
      <w:r>
        <w:rPr>
          <w:sz w:val="21"/>
          <w:szCs w:val="21"/>
        </w:rPr>
        <w:t>A Proposta do contratado.</w:t>
      </w:r>
    </w:p>
    <w:p>
      <w:pPr>
        <w:pStyle w:val="Nivel3"/>
        <w:numPr>
          <w:ilvl w:val="2"/>
          <w:numId w:val="197"/>
        </w:numPr>
        <w:tabs>
          <w:tab w:val="left" w:pos="0" w:leader="none"/>
          <w:tab w:val="left" w:pos="1701" w:leader="none"/>
        </w:tabs>
        <w:spacing w:lineRule="auto" w:line="240" w:before="0" w:after="240"/>
        <w:ind w:left="567" w:firstLine="567"/>
        <w:rPr/>
      </w:pPr>
      <w:r>
        <w:rPr>
          <w:sz w:val="21"/>
          <w:szCs w:val="21"/>
        </w:rPr>
        <w:t>Eventuais anexos dos documentos supracitados.</w:t>
      </w:r>
    </w:p>
    <w:p>
      <w:pPr>
        <w:pStyle w:val="Nivel01"/>
        <w:numPr>
          <w:ilvl w:val="0"/>
          <w:numId w:val="198"/>
        </w:numPr>
        <w:spacing w:lineRule="auto" w:line="276" w:before="0" w:after="240"/>
        <w:ind w:left="0" w:right="0" w:hanging="0"/>
        <w:rPr>
          <w:sz w:val="21"/>
          <w:szCs w:val="21"/>
        </w:rPr>
      </w:pPr>
      <w:r>
        <w:rPr>
          <w:sz w:val="21"/>
          <w:szCs w:val="21"/>
        </w:rPr>
        <w:t>CLÁUSULA SEGUNDA – VIGÊNCIA E PRORROGAÇÃO</w:t>
      </w:r>
    </w:p>
    <w:p>
      <w:pPr>
        <w:pStyle w:val="Nvel2Red"/>
        <w:numPr>
          <w:ilvl w:val="1"/>
          <w:numId w:val="199"/>
        </w:numPr>
        <w:ind w:left="0" w:firstLine="567"/>
        <w:rPr/>
      </w:pPr>
      <w:commentRangeStart w:id="59"/>
      <w:r>
        <w:rPr>
          <w:i w:val="false"/>
          <w:iCs w:val="false"/>
          <w:color w:val="000000"/>
          <w:szCs w:val="21"/>
          <w:shd w:fill="FFFFFF" w:val="clear"/>
        </w:rPr>
        <w:t xml:space="preserve">O prazo de vigência da contratação é de 12 (doze) meses, contados da Publicação no Diário Oficial do Município (Art. 353 do Decreto Municipal nº 5807/2023), sem prejuízo na divulgação no Portal Nacional de Contratações Públicas – PNCP (Art. º 94 da Lei nº 14.133/2021), prorrogável por até 10 anos, na forma dos </w:t>
      </w:r>
      <w:r>
        <w:fldChar w:fldCharType="begin"/>
      </w:r>
      <w:r>
        <w:rPr>
          <w:rStyle w:val="LinkdaInternet"/>
          <w:i w:val="false"/>
          <w:shd w:fill="FFFFFF" w:val="clear"/>
          <w:szCs w:val="21"/>
          <w:iCs w:val="false"/>
          <w:color w:val="000000"/>
        </w:rPr>
        <w:instrText> HYPERLINK "http://www.planalto.gov.br/ccivil_03/_ato2019-2022/2021/lei/L14133.htm" \l "art106"</w:instrText>
      </w:r>
      <w:r>
        <w:rPr>
          <w:rStyle w:val="LinkdaInternet"/>
          <w:i w:val="false"/>
          <w:shd w:fill="FFFFFF" w:val="clear"/>
          <w:szCs w:val="21"/>
          <w:iCs w:val="false"/>
          <w:color w:val="000000"/>
        </w:rPr>
        <w:fldChar w:fldCharType="separate"/>
      </w:r>
      <w:r>
        <w:rPr>
          <w:rStyle w:val="LinkdaInternet"/>
          <w:i w:val="false"/>
          <w:iCs w:val="false"/>
          <w:color w:val="000000"/>
          <w:szCs w:val="21"/>
          <w:shd w:fill="FFFFFF" w:val="clear"/>
        </w:rPr>
        <w:t>artigos 106 e 107 da Lei n° 14.133, de 2021.</w:t>
      </w:r>
      <w:r>
        <w:rPr>
          <w:rStyle w:val="LinkdaInternet"/>
          <w:i w:val="false"/>
          <w:shd w:fill="FFFFFF" w:val="clear"/>
          <w:szCs w:val="21"/>
          <w:iCs w:val="false"/>
          <w:color w:val="000000"/>
        </w:rPr>
        <w:fldChar w:fldCharType="end"/>
      </w:r>
    </w:p>
    <w:p>
      <w:pPr>
        <w:pStyle w:val="Nvel2Red"/>
        <w:numPr>
          <w:ilvl w:val="1"/>
          <w:numId w:val="200"/>
        </w:numPr>
        <w:ind w:left="0" w:firstLine="567"/>
        <w:rPr>
          <w:i w:val="false"/>
          <w:i w:val="false"/>
          <w:iCs w:val="false"/>
          <w:color w:val="000000"/>
          <w:shd w:fill="FFFFFF" w:val="clear"/>
        </w:rPr>
      </w:pPr>
      <w:r>
        <w:rPr>
          <w:i w:val="false"/>
          <w:iCs w:val="false"/>
          <w:color w:val="000000"/>
          <w:szCs w:val="21"/>
          <w:shd w:fill="FFFFFF" w:val="clear"/>
        </w:rPr>
        <w:t>A prorrogação de que trata este item é condicionada ao ateste, pela autoridade competente, de que as condições e os preços permanecem vantajosos para a Administração, permitida a negociação com o contratado</w:t>
      </w:r>
      <w:r>
        <w:rPr>
          <w:i w:val="false"/>
          <w:iCs w:val="false"/>
          <w:color w:val="000000"/>
          <w:szCs w:val="21"/>
          <w:shd w:fill="FFFFFF" w:val="clear"/>
        </w:rPr>
      </w:r>
      <w:commentRangeEnd w:id="59"/>
      <w:r>
        <w:commentReference w:id="59"/>
      </w:r>
      <w:r>
        <w:rPr>
          <w:i w:val="false"/>
          <w:iCs w:val="false"/>
          <w:color w:val="000000"/>
          <w:szCs w:val="21"/>
          <w:shd w:fill="FFFFFF" w:val="clear"/>
        </w:rPr>
        <w:t xml:space="preserve">, atentando, ainda, para o cumprimento dos seguintes requisitos: </w:t>
      </w:r>
    </w:p>
    <w:p>
      <w:pPr>
        <w:pStyle w:val="Nivel2"/>
        <w:numPr>
          <w:ilvl w:val="1"/>
          <w:numId w:val="5"/>
        </w:numPr>
        <w:ind w:left="284" w:hanging="0"/>
        <w:rPr>
          <w:i w:val="false"/>
          <w:i w:val="false"/>
          <w:iCs w:val="false"/>
          <w:color w:val="000000"/>
          <w:shd w:fill="FFFFFF" w:val="clear"/>
        </w:rPr>
      </w:pPr>
      <w:r>
        <w:rPr>
          <w:i w:val="false"/>
          <w:iCs w:val="false"/>
          <w:color w:val="000000"/>
          <w:szCs w:val="21"/>
          <w:shd w:fill="FFFFFF" w:val="clear"/>
        </w:rPr>
        <w:t>Estar formalmente demonstrado no processo que a forma de prestação dos serviços (do fornecimento) tem natureza continuada;</w:t>
      </w:r>
    </w:p>
    <w:p>
      <w:pPr>
        <w:pStyle w:val="Nivel2"/>
        <w:numPr>
          <w:ilvl w:val="1"/>
          <w:numId w:val="5"/>
        </w:numPr>
        <w:ind w:left="284" w:hanging="0"/>
        <w:rPr>
          <w:i w:val="false"/>
          <w:i w:val="false"/>
          <w:iCs w:val="false"/>
          <w:color w:val="000000"/>
          <w:shd w:fill="FFFFFF" w:val="clear"/>
        </w:rPr>
      </w:pPr>
      <w:r>
        <w:rPr>
          <w:i w:val="false"/>
          <w:iCs w:val="false"/>
          <w:color w:val="000000"/>
          <w:szCs w:val="21"/>
          <w:shd w:fill="FFFFFF" w:val="clear"/>
        </w:rPr>
        <w:t>Seja juntado relatório que discorra sobre a execução do contrato, com informações de que os serviços (o fornecimento) tenham(a) sido prestados (o) regularmente;</w:t>
      </w:r>
    </w:p>
    <w:p>
      <w:pPr>
        <w:pStyle w:val="Nivel2"/>
        <w:numPr>
          <w:ilvl w:val="1"/>
          <w:numId w:val="5"/>
        </w:numPr>
        <w:ind w:left="284" w:hanging="0"/>
        <w:rPr>
          <w:i w:val="false"/>
          <w:i w:val="false"/>
          <w:iCs w:val="false"/>
          <w:color w:val="000000"/>
          <w:shd w:fill="FFFFFF" w:val="clear"/>
        </w:rPr>
      </w:pPr>
      <w:r>
        <w:rPr>
          <w:i w:val="false"/>
          <w:iCs w:val="false"/>
          <w:color w:val="000000"/>
          <w:szCs w:val="21"/>
          <w:shd w:fill="FFFFFF" w:val="clear"/>
        </w:rPr>
        <w:t>Seja juntada justificativa e motivo, por escrito, de que a Administração mantém interesse na realização do serviço (fornecimento);</w:t>
      </w:r>
    </w:p>
    <w:p>
      <w:pPr>
        <w:pStyle w:val="Nivel2"/>
        <w:numPr>
          <w:ilvl w:val="1"/>
          <w:numId w:val="5"/>
        </w:numPr>
        <w:ind w:left="284" w:hanging="0"/>
        <w:rPr>
          <w:i w:val="false"/>
          <w:i w:val="false"/>
          <w:iCs w:val="false"/>
          <w:color w:val="000000"/>
          <w:shd w:fill="FFFFFF" w:val="clear"/>
        </w:rPr>
      </w:pPr>
      <w:r>
        <w:rPr>
          <w:i w:val="false"/>
          <w:iCs w:val="false"/>
          <w:color w:val="000000"/>
          <w:szCs w:val="21"/>
          <w:shd w:fill="FFFFFF" w:val="clear"/>
        </w:rPr>
        <w:t>Haja manifestação expressa do contratado informando o interesse na prorrogação;</w:t>
      </w:r>
    </w:p>
    <w:p>
      <w:pPr>
        <w:pStyle w:val="Nivel2"/>
        <w:numPr>
          <w:ilvl w:val="1"/>
          <w:numId w:val="5"/>
        </w:numPr>
        <w:ind w:left="284" w:hanging="0"/>
        <w:rPr>
          <w:i w:val="false"/>
          <w:i w:val="false"/>
          <w:iCs w:val="false"/>
          <w:color w:val="000000"/>
          <w:shd w:fill="FFFFFF" w:val="clear"/>
        </w:rPr>
      </w:pPr>
      <w:r>
        <w:rPr>
          <w:i w:val="false"/>
          <w:iCs w:val="false"/>
          <w:color w:val="000000"/>
          <w:szCs w:val="21"/>
          <w:shd w:fill="FFFFFF" w:val="clear"/>
        </w:rPr>
        <w:t>Seja comprovado que o contratado mantém as condições iniciais de habilitação;</w:t>
      </w:r>
    </w:p>
    <w:p>
      <w:pPr>
        <w:pStyle w:val="Nvel2Red"/>
        <w:numPr>
          <w:ilvl w:val="1"/>
          <w:numId w:val="201"/>
        </w:numPr>
        <w:ind w:left="0" w:firstLine="567"/>
        <w:rPr>
          <w:i w:val="false"/>
          <w:i w:val="false"/>
          <w:iCs w:val="false"/>
          <w:color w:val="000000"/>
          <w:shd w:fill="FFFFFF" w:val="clear"/>
        </w:rPr>
      </w:pPr>
      <w:r>
        <w:rPr>
          <w:i w:val="false"/>
          <w:iCs w:val="false"/>
          <w:color w:val="000000"/>
          <w:szCs w:val="21"/>
          <w:shd w:fill="FFFFFF" w:val="clear"/>
        </w:rPr>
        <w:t>O contratado não tem direito subjetivo à prorrogação contratual.</w:t>
      </w:r>
    </w:p>
    <w:p>
      <w:pPr>
        <w:pStyle w:val="Nvel2Red"/>
        <w:numPr>
          <w:ilvl w:val="1"/>
          <w:numId w:val="202"/>
        </w:numPr>
        <w:ind w:left="0" w:firstLine="567"/>
        <w:rPr>
          <w:i w:val="false"/>
          <w:i w:val="false"/>
          <w:iCs w:val="false"/>
          <w:color w:val="000000"/>
          <w:shd w:fill="FFFFFF" w:val="clear"/>
        </w:rPr>
      </w:pPr>
      <w:r>
        <w:rPr>
          <w:i w:val="false"/>
          <w:iCs w:val="false"/>
          <w:color w:val="000000"/>
          <w:szCs w:val="21"/>
          <w:shd w:fill="FFFFFF" w:val="clear"/>
        </w:rPr>
        <w:t xml:space="preserve">A prorrogação de contrato deverá ser promovida mediante celebração de termo aditivo. </w:t>
      </w:r>
    </w:p>
    <w:p>
      <w:pPr>
        <w:pStyle w:val="Nvel2Red"/>
        <w:numPr>
          <w:ilvl w:val="1"/>
          <w:numId w:val="203"/>
        </w:numPr>
        <w:ind w:left="0" w:firstLine="567"/>
        <w:rPr>
          <w:i w:val="false"/>
          <w:i w:val="false"/>
          <w:iCs w:val="false"/>
          <w:color w:val="000000"/>
          <w:shd w:fill="FFFFFF" w:val="clear"/>
        </w:rPr>
      </w:pPr>
      <w:r>
        <w:rPr>
          <w:i w:val="false"/>
          <w:iCs w:val="false"/>
          <w:color w:val="000000"/>
          <w:szCs w:val="21"/>
          <w:shd w:fill="FFFFFF" w:val="clear"/>
        </w:rPr>
        <w:t>Nas eventuais prorrogações contratuais, os custos não renováveis já pagos ou amortizados ao longo do primeiro período de vigência da contratação deverão ser reduzidos ou eliminados como condição para a renovação.</w:t>
      </w:r>
    </w:p>
    <w:p>
      <w:pPr>
        <w:pStyle w:val="Nvel2Red"/>
        <w:numPr>
          <w:ilvl w:val="1"/>
          <w:numId w:val="204"/>
        </w:numPr>
        <w:ind w:left="0" w:firstLine="567"/>
        <w:rPr>
          <w:i w:val="false"/>
          <w:i w:val="false"/>
          <w:iCs w:val="false"/>
          <w:color w:val="000000"/>
          <w:shd w:fill="FFFFFF" w:val="clear"/>
        </w:rPr>
      </w:pPr>
      <w:r>
        <w:rPr>
          <w:i w:val="false"/>
          <w:iCs w:val="false"/>
          <w:color w:val="000000"/>
          <w:szCs w:val="21"/>
          <w:shd w:fill="FFFFFF" w:val="clear"/>
        </w:rPr>
        <w:t>O contrato não poderá ser prorrogado quando o contratado tiver sido penalizado nas sanções de declaração de inidoneidade ou impedimento de licitar e contratar com poder público, observadas as abrangências de aplicação.</w:t>
      </w:r>
    </w:p>
    <w:p>
      <w:pPr>
        <w:pStyle w:val="Nvel2Red"/>
        <w:tabs>
          <w:tab w:val="clear" w:pos="0"/>
          <w:tab w:val="left" w:pos="1134" w:leader="none"/>
        </w:tabs>
        <w:ind w:left="567" w:hanging="0"/>
        <w:rPr>
          <w:szCs w:val="21"/>
          <w:highlight w:val="yellow"/>
        </w:rPr>
      </w:pPr>
      <w:r>
        <w:rPr>
          <w:szCs w:val="21"/>
          <w:highlight w:val="yellow"/>
        </w:rPr>
      </w:r>
    </w:p>
    <w:p>
      <w:pPr>
        <w:pStyle w:val="Nivel01"/>
        <w:numPr>
          <w:ilvl w:val="0"/>
          <w:numId w:val="205"/>
        </w:numPr>
        <w:spacing w:lineRule="auto" w:line="276" w:before="0" w:after="240"/>
        <w:ind w:left="0" w:right="0" w:hanging="0"/>
        <w:rPr/>
      </w:pPr>
      <w:r>
        <w:rPr>
          <w:sz w:val="21"/>
          <w:szCs w:val="21"/>
        </w:rPr>
        <w:t>CLÁUSULA TERCEIRA – MODELOS DE EXECUÇÃO E GESTÃO CONTRATUAIS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IV, VII e XVIII)</w:t>
      </w:r>
      <w:r>
        <w:rPr>
          <w:rStyle w:val="LinkdaInternet"/>
          <w:sz w:val="21"/>
          <w:szCs w:val="21"/>
        </w:rPr>
        <w:fldChar w:fldCharType="end"/>
      </w:r>
    </w:p>
    <w:p>
      <w:pPr>
        <w:pStyle w:val="Nivel2"/>
        <w:numPr>
          <w:ilvl w:val="1"/>
          <w:numId w:val="206"/>
        </w:numPr>
        <w:tabs>
          <w:tab w:val="left" w:pos="0" w:leader="none"/>
          <w:tab w:val="left" w:pos="993" w:leader="none"/>
        </w:tabs>
        <w:ind w:left="0" w:firstLine="567"/>
        <w:rPr>
          <w:szCs w:val="21"/>
        </w:rPr>
      </w:pPr>
      <w:r>
        <w:rPr>
          <w:szCs w:val="21"/>
        </w:rPr>
        <w:t xml:space="preserve">O regime de execução contratual, os modelos de gestão e de execução, assim como os prazos e condições de conclusão, entrega, observação e recebimento do objeto constam no Termo de Referência, anexo ao Edital de </w:t>
      </w:r>
      <w:r>
        <w:rPr>
          <w:b/>
          <w:bCs/>
          <w:i w:val="false"/>
          <w:iCs w:val="false"/>
          <w:color w:val="000000"/>
          <w:szCs w:val="21"/>
        </w:rPr>
        <w:t>Pregão Eletrônico nº 093/2024.</w:t>
      </w:r>
    </w:p>
    <w:p>
      <w:pPr>
        <w:pStyle w:val="Nivel01"/>
        <w:numPr>
          <w:ilvl w:val="0"/>
          <w:numId w:val="207"/>
        </w:numPr>
        <w:spacing w:lineRule="auto" w:line="276" w:before="0" w:after="240"/>
        <w:ind w:left="0" w:right="0" w:hanging="0"/>
        <w:rPr>
          <w:sz w:val="21"/>
          <w:szCs w:val="21"/>
        </w:rPr>
      </w:pPr>
      <w:r>
        <w:rPr>
          <w:sz w:val="21"/>
          <w:szCs w:val="21"/>
        </w:rPr>
        <w:t>CLÁUSULA QUARTA – SUBCONTRATAÇÃO</w:t>
      </w:r>
    </w:p>
    <w:p>
      <w:pPr>
        <w:pStyle w:val="Nvel2Red"/>
        <w:numPr>
          <w:ilvl w:val="1"/>
          <w:numId w:val="208"/>
        </w:numPr>
        <w:ind w:left="0" w:firstLine="567"/>
        <w:rPr>
          <w:i w:val="false"/>
          <w:i w:val="false"/>
          <w:iCs w:val="false"/>
          <w:color w:val="000000"/>
        </w:rPr>
      </w:pPr>
      <w:r>
        <w:rPr>
          <w:i w:val="false"/>
          <w:iCs w:val="false"/>
          <w:color w:val="000000"/>
          <w:szCs w:val="21"/>
        </w:rPr>
        <w:t>Não será admitida a subcontratação do objeto contratual.</w:t>
      </w:r>
    </w:p>
    <w:p>
      <w:pPr>
        <w:pStyle w:val="Nvel2Red"/>
        <w:tabs>
          <w:tab w:val="clear" w:pos="0"/>
          <w:tab w:val="left" w:pos="1134" w:leader="none"/>
        </w:tabs>
        <w:ind w:left="1425" w:hanging="0"/>
        <w:rPr>
          <w:szCs w:val="21"/>
        </w:rPr>
      </w:pPr>
      <w:r>
        <w:rPr>
          <w:szCs w:val="21"/>
        </w:rPr>
      </w:r>
    </w:p>
    <w:p>
      <w:pPr>
        <w:pStyle w:val="Nivel01"/>
        <w:numPr>
          <w:ilvl w:val="0"/>
          <w:numId w:val="209"/>
        </w:numPr>
        <w:ind w:left="0" w:right="0" w:hanging="0"/>
        <w:rPr/>
      </w:pPr>
      <w:r>
        <w:rPr>
          <w:sz w:val="21"/>
          <w:szCs w:val="21"/>
        </w:rPr>
        <w:t>CLÁUSULA QUINTA – PREÇO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w:t>
      </w:r>
      <w:r>
        <w:rPr>
          <w:rStyle w:val="LinkdaInternet"/>
          <w:sz w:val="21"/>
          <w:szCs w:val="21"/>
        </w:rPr>
        <w:fldChar w:fldCharType="end"/>
      </w:r>
      <w:r>
        <w:rPr/>
        <w:commentReference w:id="60"/>
      </w:r>
    </w:p>
    <w:p>
      <w:pPr>
        <w:pStyle w:val="Normal"/>
        <w:rPr>
          <w:rFonts w:ascii="Arial" w:hAnsi="Arial" w:cs="Arial"/>
          <w:sz w:val="21"/>
          <w:szCs w:val="21"/>
        </w:rPr>
      </w:pPr>
      <w:commentRangeStart w:id="61"/>
      <w:r>
        <w:rPr>
          <w:rFonts w:cs="Arial" w:ascii="Arial" w:hAnsi="Arial"/>
          <w:sz w:val="21"/>
          <w:szCs w:val="21"/>
        </w:rPr>
      </w:r>
    </w:p>
    <w:p>
      <w:pPr>
        <w:pStyle w:val="Nvel2Red"/>
        <w:numPr>
          <w:ilvl w:val="1"/>
          <w:numId w:val="210"/>
        </w:numPr>
        <w:tabs>
          <w:tab w:val="left" w:pos="0" w:leader="none"/>
          <w:tab w:val="left" w:pos="993" w:leader="none"/>
        </w:tabs>
        <w:ind w:left="567" w:hanging="0"/>
        <w:rPr>
          <w:szCs w:val="21"/>
        </w:rPr>
      </w:pPr>
      <w:r>
        <w:rPr>
          <w:i w:val="false"/>
          <w:iCs w:val="false"/>
          <w:color w:val="000000"/>
          <w:szCs w:val="21"/>
        </w:rPr>
        <w:t>O valor total da contratação é de R$.......... (.....)</w:t>
      </w:r>
      <w:r>
        <w:rPr>
          <w:i w:val="false"/>
          <w:iCs w:val="false"/>
          <w:color w:val="000000"/>
          <w:szCs w:val="21"/>
        </w:rPr>
      </w:r>
      <w:commentRangeEnd w:id="61"/>
      <w:r>
        <w:commentReference w:id="61"/>
      </w:r>
      <w:r>
        <w:rPr>
          <w:szCs w:val="21"/>
        </w:rPr>
        <w:t>.</w:t>
      </w:r>
    </w:p>
    <w:p>
      <w:pPr>
        <w:pStyle w:val="Nivel2"/>
        <w:numPr>
          <w:ilvl w:val="1"/>
          <w:numId w:val="211"/>
        </w:numPr>
        <w:tabs>
          <w:tab w:val="left" w:pos="0" w:leader="none"/>
          <w:tab w:val="left" w:pos="993" w:leader="none"/>
        </w:tabs>
        <w:ind w:left="0" w:firstLine="567"/>
        <w:rPr>
          <w:szCs w:val="21"/>
        </w:rPr>
      </w:pPr>
      <w:r>
        <w:rPr>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212"/>
        </w:numPr>
        <w:tabs>
          <w:tab w:val="left" w:pos="0" w:leader="none"/>
          <w:tab w:val="left" w:pos="993" w:leader="none"/>
        </w:tabs>
        <w:ind w:left="0" w:firstLine="567"/>
        <w:rPr>
          <w:i w:val="false"/>
          <w:i w:val="false"/>
          <w:iCs w:val="false"/>
          <w:color w:val="000000"/>
        </w:rPr>
      </w:pPr>
      <w:commentRangeStart w:id="62"/>
      <w:r>
        <w:rPr>
          <w:i w:val="false"/>
          <w:iCs w:val="false"/>
          <w:color w:val="000000"/>
          <w:szCs w:val="21"/>
        </w:rPr>
        <w:t>O valor acima é meramente estimativo, de forma que os pagamentos devidos ao contratado dependerão dos quantitativos efetivamente fornecidos.</w:t>
      </w:r>
      <w:commentRangeEnd w:id="62"/>
      <w:r>
        <w:commentReference w:id="62"/>
      </w:r>
      <w:r>
        <w:rPr>
          <w:i w:val="false"/>
          <w:iCs w:val="false"/>
          <w:color w:val="000000"/>
          <w:szCs w:val="21"/>
        </w:rPr>
      </w:r>
    </w:p>
    <w:p>
      <w:pPr>
        <w:pStyle w:val="Nivel01"/>
        <w:numPr>
          <w:ilvl w:val="0"/>
          <w:numId w:val="213"/>
        </w:numPr>
        <w:spacing w:lineRule="auto" w:line="276" w:before="0" w:after="240"/>
        <w:ind w:left="0" w:right="0" w:hanging="0"/>
        <w:rPr/>
      </w:pPr>
      <w:r>
        <w:rPr>
          <w:sz w:val="21"/>
          <w:szCs w:val="21"/>
        </w:rPr>
        <w:t>CLÁUSULA SEXTA - PAGAMENTO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 e VI</w:t>
      </w:r>
      <w:r>
        <w:rPr>
          <w:rStyle w:val="LinkdaInternet"/>
          <w:sz w:val="21"/>
          <w:szCs w:val="21"/>
        </w:rPr>
        <w:fldChar w:fldCharType="end"/>
      </w:r>
      <w:r>
        <w:rPr>
          <w:sz w:val="21"/>
          <w:szCs w:val="21"/>
        </w:rPr>
        <w:t>)</w:t>
      </w:r>
    </w:p>
    <w:p>
      <w:pPr>
        <w:pStyle w:val="Nivel2"/>
        <w:numPr>
          <w:ilvl w:val="1"/>
          <w:numId w:val="214"/>
        </w:numPr>
        <w:tabs>
          <w:tab w:val="left" w:pos="0" w:leader="none"/>
          <w:tab w:val="left" w:pos="993" w:leader="none"/>
        </w:tabs>
        <w:spacing w:lineRule="auto" w:line="240"/>
        <w:ind w:left="0" w:firstLine="567"/>
        <w:rPr>
          <w:shd w:fill="FFFFFF" w:val="clear"/>
        </w:rPr>
      </w:pPr>
      <w:r>
        <w:rPr>
          <w:rFonts w:eastAsia="Times New Roman"/>
          <w:szCs w:val="21"/>
          <w:shd w:fill="FFFFFF" w:val="clear"/>
        </w:rPr>
        <w:t xml:space="preserve">O prazo para pagamento </w:t>
      </w:r>
      <w:r>
        <w:rPr>
          <w:rFonts w:eastAsia="Times New Roman"/>
          <w:szCs w:val="21"/>
          <w:shd w:fill="FFFFFF" w:val="clear"/>
          <w:lang w:eastAsia="en-US"/>
        </w:rPr>
        <w:t>ao contratado</w:t>
      </w:r>
      <w:r>
        <w:rPr>
          <w:rFonts w:eastAsia="Times New Roman"/>
          <w:szCs w:val="21"/>
          <w:shd w:fill="FFFFFF" w:val="clear"/>
        </w:rPr>
        <w:t xml:space="preserve"> e demais condições a ele referentes encontram-se definidos no Termo de Referência, anexo a este Contrato, além das demais previstas nesta Cláusula.</w:t>
      </w:r>
    </w:p>
    <w:p>
      <w:pPr>
        <w:pStyle w:val="Nivel2"/>
        <w:numPr>
          <w:ilvl w:val="1"/>
          <w:numId w:val="215"/>
        </w:numPr>
        <w:tabs>
          <w:tab w:val="left" w:pos="0" w:leader="none"/>
          <w:tab w:val="left" w:pos="993" w:leader="none"/>
        </w:tabs>
        <w:spacing w:lineRule="auto" w:line="240"/>
        <w:ind w:left="0" w:firstLine="567"/>
        <w:rPr/>
      </w:pPr>
      <w:r>
        <w:rPr>
          <w:rFonts w:eastAsia="Times New Roman"/>
          <w:szCs w:val="21"/>
        </w:rPr>
        <w:t xml:space="preserve">O Contratado deverá apresentar a </w:t>
      </w:r>
      <w:r>
        <w:rPr>
          <w:rFonts w:eastAsia="Times New Roman"/>
          <w:b/>
          <w:szCs w:val="21"/>
        </w:rPr>
        <w:t>NOTA FISCAL</w:t>
      </w:r>
      <w:r>
        <w:rPr>
          <w:rFonts w:eastAsia="Times New Roman"/>
          <w:szCs w:val="21"/>
        </w:rPr>
        <w:t xml:space="preserve"> através do portal do Fornecedor (</w:t>
      </w:r>
      <w:hyperlink r:id="rId32">
        <w:r>
          <w:rPr>
            <w:rStyle w:val="LinkdaInternet"/>
            <w:rFonts w:eastAsia="Times New Roman"/>
            <w:szCs w:val="21"/>
          </w:rPr>
          <w:t>www.sjp.pr.gov.br/secretarias/secretaria-administracao/portal-do-fornecedor/</w:t>
        </w:r>
      </w:hyperlink>
      <w:r>
        <w:rPr>
          <w:rFonts w:eastAsia="Times New Roman"/>
          <w:szCs w:val="21"/>
        </w:rPr>
        <w:t>).</w:t>
      </w:r>
    </w:p>
    <w:p>
      <w:pPr>
        <w:pStyle w:val="Nivel2"/>
        <w:numPr>
          <w:ilvl w:val="1"/>
          <w:numId w:val="216"/>
        </w:numPr>
        <w:tabs>
          <w:tab w:val="left" w:pos="0" w:leader="none"/>
          <w:tab w:val="left" w:pos="993" w:leader="none"/>
        </w:tabs>
        <w:spacing w:lineRule="auto" w:line="240"/>
        <w:ind w:left="0" w:firstLine="567"/>
        <w:rPr>
          <w:szCs w:val="21"/>
        </w:rPr>
      </w:pPr>
      <w:r>
        <w:rPr>
          <w:rFonts w:eastAsia="Times New Roman"/>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pPr>
        <w:pStyle w:val="Normal"/>
        <w:widowControl w:val="false"/>
        <w:suppressLineNumbers/>
        <w:tabs>
          <w:tab w:val="clear" w:pos="708"/>
          <w:tab w:val="left" w:pos="142" w:leader="none"/>
        </w:tabs>
        <w:spacing w:before="120" w:after="120"/>
        <w:ind w:left="567" w:hanging="0"/>
        <w:jc w:val="both"/>
        <w:rPr>
          <w:rFonts w:ascii="Arial" w:hAnsi="Arial"/>
          <w:sz w:val="21"/>
          <w:szCs w:val="21"/>
        </w:rPr>
      </w:pPr>
      <w:r>
        <w:rPr>
          <w:rFonts w:eastAsia="Times New Roman" w:cs="Arial" w:ascii="Arial" w:hAnsi="Arial"/>
          <w:b/>
          <w:sz w:val="21"/>
          <w:szCs w:val="21"/>
        </w:rPr>
        <w:t>PREFEITURA MUNICIPAL DE SÃO JOSÉ DOS PINHAIS</w:t>
      </w:r>
    </w:p>
    <w:p>
      <w:pPr>
        <w:pStyle w:val="Normal"/>
        <w:widowControl w:val="false"/>
        <w:suppressLineNumbers/>
        <w:tabs>
          <w:tab w:val="clear" w:pos="708"/>
          <w:tab w:val="left" w:pos="0" w:leader="none"/>
        </w:tabs>
        <w:spacing w:before="120" w:after="120"/>
        <w:ind w:left="567" w:hanging="0"/>
        <w:jc w:val="both"/>
        <w:rPr>
          <w:rFonts w:ascii="Arial" w:hAnsi="Arial"/>
          <w:sz w:val="21"/>
          <w:szCs w:val="21"/>
        </w:rPr>
      </w:pPr>
      <w:r>
        <w:rPr>
          <w:rFonts w:eastAsia="Times New Roman" w:cs="Arial" w:ascii="Arial" w:hAnsi="Arial"/>
          <w:b/>
          <w:sz w:val="21"/>
          <w:szCs w:val="21"/>
        </w:rPr>
        <w:t>RUA PASSOS DE OLIVEIRA N.º 1101 - CENTRO - SÃO JOSÉ DOS PINHAIS/PR</w:t>
      </w:r>
    </w:p>
    <w:p>
      <w:pPr>
        <w:pStyle w:val="Normal"/>
        <w:widowControl w:val="false"/>
        <w:suppressLineNumbers/>
        <w:tabs>
          <w:tab w:val="clear" w:pos="708"/>
          <w:tab w:val="left" w:pos="0" w:leader="none"/>
        </w:tabs>
        <w:spacing w:before="120" w:after="120"/>
        <w:ind w:left="567" w:hanging="0"/>
        <w:jc w:val="both"/>
        <w:rPr>
          <w:rFonts w:ascii="Arial" w:hAnsi="Arial"/>
          <w:sz w:val="21"/>
          <w:szCs w:val="21"/>
        </w:rPr>
      </w:pPr>
      <w:r>
        <w:rPr>
          <w:rFonts w:eastAsia="Times New Roman" w:cs="Arial" w:ascii="Arial" w:hAnsi="Arial"/>
          <w:b/>
          <w:sz w:val="21"/>
          <w:szCs w:val="21"/>
        </w:rPr>
        <w:t>CEP: 83.030-720</w:t>
      </w:r>
    </w:p>
    <w:p>
      <w:pPr>
        <w:pStyle w:val="Normal"/>
        <w:widowControl w:val="false"/>
        <w:suppressLineNumbers/>
        <w:tabs>
          <w:tab w:val="clear" w:pos="708"/>
          <w:tab w:val="left" w:pos="0" w:leader="none"/>
        </w:tabs>
        <w:spacing w:before="120" w:after="120"/>
        <w:ind w:left="567" w:hanging="0"/>
        <w:jc w:val="both"/>
        <w:rPr>
          <w:rFonts w:ascii="Arial" w:hAnsi="Arial"/>
          <w:sz w:val="21"/>
          <w:szCs w:val="21"/>
        </w:rPr>
      </w:pPr>
      <w:r>
        <w:rPr>
          <w:rFonts w:eastAsia="Times New Roman" w:cs="Arial" w:ascii="Arial" w:hAnsi="Arial"/>
          <w:b/>
          <w:sz w:val="21"/>
          <w:szCs w:val="21"/>
        </w:rPr>
        <w:t>CNPJ N.º 76.105.543/0001-35</w:t>
      </w:r>
    </w:p>
    <w:p>
      <w:pPr>
        <w:pStyle w:val="Normal"/>
        <w:widowControl w:val="false"/>
        <w:suppressLineNumbers/>
        <w:tabs>
          <w:tab w:val="clear" w:pos="708"/>
          <w:tab w:val="left" w:pos="0" w:leader="none"/>
        </w:tabs>
        <w:spacing w:before="120" w:after="120"/>
        <w:ind w:left="567" w:hanging="0"/>
        <w:jc w:val="both"/>
        <w:rPr>
          <w:rFonts w:ascii="Arial" w:hAnsi="Arial"/>
          <w:sz w:val="21"/>
          <w:szCs w:val="21"/>
        </w:rPr>
      </w:pPr>
      <w:r>
        <w:rPr>
          <w:rFonts w:eastAsia="Times New Roman" w:cs="Arial" w:ascii="Arial" w:hAnsi="Arial"/>
          <w:b/>
          <w:sz w:val="21"/>
          <w:szCs w:val="21"/>
        </w:rPr>
        <w:t>INSCRIÇÃO ESTADUAL – ISENTA</w:t>
      </w:r>
    </w:p>
    <w:p>
      <w:pPr>
        <w:pStyle w:val="Normal"/>
        <w:widowControl w:val="false"/>
        <w:suppressLineNumbers/>
        <w:tabs>
          <w:tab w:val="clear" w:pos="708"/>
          <w:tab w:val="left" w:pos="0" w:leader="none"/>
        </w:tabs>
        <w:spacing w:before="120" w:after="120"/>
        <w:ind w:left="567" w:hanging="0"/>
        <w:jc w:val="both"/>
        <w:rPr>
          <w:rFonts w:ascii="Arial" w:hAnsi="Arial"/>
          <w:sz w:val="21"/>
          <w:szCs w:val="21"/>
        </w:rPr>
      </w:pPr>
      <w:r>
        <w:rPr>
          <w:rFonts w:eastAsia="Times New Roman" w:cs="Arial" w:ascii="Arial" w:hAnsi="Arial"/>
          <w:b/>
          <w:sz w:val="21"/>
          <w:szCs w:val="21"/>
        </w:rPr>
        <w:t>EMPENHO N.º ______________/202</w:t>
      </w:r>
      <w:r>
        <w:rPr>
          <w:rFonts w:eastAsia="Times New Roman" w:cs="Arial" w:ascii="Arial" w:hAnsi="Arial"/>
          <w:b/>
          <w:sz w:val="21"/>
          <w:szCs w:val="21"/>
          <w:highlight w:val="yellow"/>
        </w:rPr>
        <w:t>_.</w:t>
      </w:r>
    </w:p>
    <w:p>
      <w:pPr>
        <w:pStyle w:val="Normal"/>
        <w:widowControl w:val="false"/>
        <w:suppressLineNumbers/>
        <w:tabs>
          <w:tab w:val="clear" w:pos="708"/>
          <w:tab w:val="left" w:pos="0" w:leader="none"/>
        </w:tabs>
        <w:spacing w:before="120" w:after="120"/>
        <w:ind w:left="567" w:hanging="0"/>
        <w:jc w:val="both"/>
        <w:rPr>
          <w:rFonts w:ascii="Arial" w:hAnsi="Arial" w:eastAsia="Times New Roman" w:cs="Arial"/>
          <w:b/>
          <w:b/>
          <w:sz w:val="12"/>
          <w:szCs w:val="12"/>
        </w:rPr>
      </w:pPr>
      <w:r>
        <w:rPr>
          <w:rFonts w:eastAsia="Times New Roman" w:cs="Arial" w:ascii="Arial" w:hAnsi="Arial"/>
          <w:b/>
          <w:sz w:val="12"/>
          <w:szCs w:val="12"/>
        </w:rPr>
      </w:r>
    </w:p>
    <w:p>
      <w:pPr>
        <w:pStyle w:val="Nivel2"/>
        <w:numPr>
          <w:ilvl w:val="1"/>
          <w:numId w:val="217"/>
        </w:numPr>
        <w:tabs>
          <w:tab w:val="left" w:pos="0" w:leader="none"/>
          <w:tab w:val="left" w:pos="993" w:leader="none"/>
        </w:tabs>
        <w:spacing w:lineRule="auto" w:line="240"/>
        <w:ind w:left="0" w:firstLine="567"/>
        <w:rPr>
          <w:szCs w:val="21"/>
        </w:rPr>
      </w:pPr>
      <w:r>
        <w:rPr>
          <w:rFonts w:eastAsia="Times New Roman"/>
          <w:szCs w:val="21"/>
          <w:lang w:eastAsia="en-US"/>
        </w:rPr>
        <w:t xml:space="preserve">Para fins de </w:t>
      </w:r>
      <w:r>
        <w:rPr>
          <w:rFonts w:eastAsia="Times New Roman"/>
          <w:szCs w:val="21"/>
        </w:rPr>
        <w:t>liquidação</w:t>
      </w:r>
      <w:r>
        <w:rPr>
          <w:rFonts w:eastAsia="Times New Roman"/>
          <w:szCs w:val="21"/>
          <w:lang w:eastAsia="en-US"/>
        </w:rPr>
        <w:t xml:space="preserve">, o setor competente deverá verificar se a nota fiscal apresentada expressa os elementos necessários e essenciais do documento, tais como: </w:t>
      </w:r>
    </w:p>
    <w:p>
      <w:pPr>
        <w:pStyle w:val="Normal"/>
        <w:numPr>
          <w:ilvl w:val="0"/>
          <w:numId w:val="218"/>
        </w:numPr>
        <w:tabs>
          <w:tab w:val="clear" w:pos="708"/>
          <w:tab w:val="left" w:pos="851" w:leader="none"/>
        </w:tabs>
        <w:spacing w:before="120" w:after="120"/>
        <w:ind w:left="567" w:hanging="0"/>
        <w:contextualSpacing/>
        <w:jc w:val="both"/>
        <w:rPr>
          <w:rFonts w:ascii="Arial" w:hAnsi="Arial"/>
          <w:sz w:val="21"/>
          <w:szCs w:val="21"/>
        </w:rPr>
      </w:pPr>
      <w:r>
        <w:rPr>
          <w:rFonts w:eastAsia="Calibri" w:cs="Arial" w:ascii="Arial" w:hAnsi="Arial"/>
          <w:color w:val="000000"/>
          <w:sz w:val="21"/>
          <w:szCs w:val="21"/>
          <w:lang w:eastAsia="en-US"/>
        </w:rPr>
        <w:t>o prazo de validade;</w:t>
      </w:r>
    </w:p>
    <w:p>
      <w:pPr>
        <w:pStyle w:val="Normal"/>
        <w:numPr>
          <w:ilvl w:val="0"/>
          <w:numId w:val="219"/>
        </w:numPr>
        <w:tabs>
          <w:tab w:val="clear" w:pos="708"/>
          <w:tab w:val="left" w:pos="851" w:leader="none"/>
        </w:tabs>
        <w:spacing w:before="120" w:after="120"/>
        <w:ind w:left="567" w:hanging="0"/>
        <w:contextualSpacing/>
        <w:jc w:val="both"/>
        <w:rPr>
          <w:rFonts w:ascii="Arial" w:hAnsi="Arial"/>
          <w:sz w:val="21"/>
          <w:szCs w:val="21"/>
        </w:rPr>
      </w:pPr>
      <w:r>
        <w:rPr>
          <w:rFonts w:eastAsia="Calibri" w:cs="Arial" w:ascii="Arial" w:hAnsi="Arial"/>
          <w:color w:val="000000"/>
          <w:sz w:val="21"/>
          <w:szCs w:val="21"/>
          <w:lang w:eastAsia="en-US"/>
        </w:rPr>
        <w:t>a data da emissão;</w:t>
      </w:r>
    </w:p>
    <w:p>
      <w:pPr>
        <w:pStyle w:val="Normal"/>
        <w:numPr>
          <w:ilvl w:val="0"/>
          <w:numId w:val="220"/>
        </w:numPr>
        <w:tabs>
          <w:tab w:val="clear" w:pos="708"/>
          <w:tab w:val="left" w:pos="851" w:leader="none"/>
        </w:tabs>
        <w:spacing w:before="120" w:after="120"/>
        <w:ind w:left="567" w:hanging="0"/>
        <w:contextualSpacing/>
        <w:jc w:val="both"/>
        <w:rPr>
          <w:rFonts w:ascii="Arial" w:hAnsi="Arial"/>
          <w:sz w:val="21"/>
          <w:szCs w:val="21"/>
        </w:rPr>
      </w:pPr>
      <w:r>
        <w:rPr>
          <w:rFonts w:eastAsia="Calibri" w:cs="Arial" w:ascii="Arial" w:hAnsi="Arial"/>
          <w:color w:val="000000"/>
          <w:sz w:val="21"/>
          <w:szCs w:val="21"/>
          <w:lang w:eastAsia="en-US"/>
        </w:rPr>
        <w:t>os dados do contrato e do órgão contratante;</w:t>
      </w:r>
    </w:p>
    <w:p>
      <w:pPr>
        <w:pStyle w:val="Normal"/>
        <w:numPr>
          <w:ilvl w:val="0"/>
          <w:numId w:val="221"/>
        </w:numPr>
        <w:tabs>
          <w:tab w:val="clear" w:pos="708"/>
          <w:tab w:val="left" w:pos="851" w:leader="none"/>
        </w:tabs>
        <w:spacing w:before="120" w:after="120"/>
        <w:ind w:left="567" w:hanging="0"/>
        <w:contextualSpacing/>
        <w:jc w:val="both"/>
        <w:rPr>
          <w:rFonts w:ascii="Arial" w:hAnsi="Arial"/>
          <w:sz w:val="21"/>
          <w:szCs w:val="21"/>
        </w:rPr>
      </w:pPr>
      <w:r>
        <w:rPr>
          <w:rFonts w:eastAsia="Calibri" w:cs="Arial" w:ascii="Arial" w:hAnsi="Arial"/>
          <w:color w:val="000000"/>
          <w:sz w:val="21"/>
          <w:szCs w:val="21"/>
          <w:lang w:eastAsia="en-US"/>
        </w:rPr>
        <w:t>o período respectivo de execução do contrato;</w:t>
      </w:r>
    </w:p>
    <w:p>
      <w:pPr>
        <w:pStyle w:val="Normal"/>
        <w:numPr>
          <w:ilvl w:val="0"/>
          <w:numId w:val="222"/>
        </w:numPr>
        <w:tabs>
          <w:tab w:val="clear" w:pos="708"/>
          <w:tab w:val="left" w:pos="851" w:leader="none"/>
        </w:tabs>
        <w:spacing w:before="120" w:after="120"/>
        <w:ind w:left="567" w:hanging="0"/>
        <w:contextualSpacing/>
        <w:jc w:val="both"/>
        <w:rPr>
          <w:rFonts w:ascii="Arial" w:hAnsi="Arial"/>
          <w:sz w:val="21"/>
          <w:szCs w:val="21"/>
        </w:rPr>
      </w:pPr>
      <w:r>
        <w:rPr>
          <w:rFonts w:eastAsia="Calibri" w:cs="Arial" w:ascii="Arial" w:hAnsi="Arial"/>
          <w:color w:val="000000"/>
          <w:sz w:val="21"/>
          <w:szCs w:val="21"/>
          <w:lang w:eastAsia="en-US"/>
        </w:rPr>
        <w:t xml:space="preserve">o valor a pagar; e </w:t>
      </w:r>
    </w:p>
    <w:p>
      <w:pPr>
        <w:pStyle w:val="Normal"/>
        <w:numPr>
          <w:ilvl w:val="0"/>
          <w:numId w:val="223"/>
        </w:numPr>
        <w:tabs>
          <w:tab w:val="clear" w:pos="708"/>
          <w:tab w:val="left" w:pos="851" w:leader="none"/>
        </w:tabs>
        <w:spacing w:before="120" w:after="120"/>
        <w:ind w:left="567" w:hanging="0"/>
        <w:contextualSpacing/>
        <w:jc w:val="both"/>
        <w:rPr>
          <w:rFonts w:ascii="Arial" w:hAnsi="Arial"/>
          <w:sz w:val="21"/>
          <w:szCs w:val="21"/>
        </w:rPr>
      </w:pPr>
      <w:r>
        <w:rPr>
          <w:rFonts w:eastAsia="Calibri" w:cs="Arial" w:ascii="Arial" w:hAnsi="Arial"/>
          <w:color w:val="000000"/>
          <w:sz w:val="21"/>
          <w:szCs w:val="21"/>
          <w:lang w:eastAsia="en-US"/>
        </w:rPr>
        <w:t>eventual destaque do valor de retenções tributárias cabíveis.</w:t>
      </w:r>
    </w:p>
    <w:p>
      <w:pPr>
        <w:pStyle w:val="Nivel2"/>
        <w:numPr>
          <w:ilvl w:val="1"/>
          <w:numId w:val="224"/>
        </w:numPr>
        <w:tabs>
          <w:tab w:val="left" w:pos="0" w:leader="none"/>
          <w:tab w:val="left" w:pos="993" w:leader="none"/>
        </w:tabs>
        <w:spacing w:lineRule="auto" w:line="240"/>
        <w:ind w:left="0" w:firstLine="567"/>
        <w:rPr>
          <w:szCs w:val="21"/>
        </w:rPr>
      </w:pPr>
      <w:r>
        <w:rPr>
          <w:rFonts w:eastAsia="Calibri"/>
          <w:szCs w:val="21"/>
          <w:lang w:eastAsia="en-US"/>
        </w:rPr>
        <w:t xml:space="preserve">Havendo erro na apresentação da nota fiscal ou circunstância que impeça a </w:t>
      </w:r>
      <w:r>
        <w:rPr>
          <w:rFonts w:eastAsia="Times New Roman"/>
          <w:szCs w:val="21"/>
          <w:lang w:eastAsia="en-US"/>
        </w:rPr>
        <w:t>liquidação da despesa, esta ficará sobrestada até que o contratado providencie as medidas saneadoras, reiniciando-se o prazo após a comprovação da regulari</w:t>
      </w:r>
      <w:r>
        <w:rPr>
          <w:rFonts w:eastAsia="Times New Roman"/>
          <w:color w:val="000000"/>
          <w:szCs w:val="21"/>
          <w:lang w:eastAsia="en-US"/>
        </w:rPr>
        <w:t>zação da situação, sem ônus ao contratante.</w:t>
      </w:r>
    </w:p>
    <w:p>
      <w:pPr>
        <w:pStyle w:val="Nivel2"/>
        <w:numPr>
          <w:ilvl w:val="1"/>
          <w:numId w:val="225"/>
        </w:numPr>
        <w:tabs>
          <w:tab w:val="left" w:pos="0" w:leader="none"/>
          <w:tab w:val="left" w:pos="993" w:leader="none"/>
        </w:tabs>
        <w:spacing w:lineRule="auto" w:line="240"/>
        <w:ind w:left="0" w:firstLine="567"/>
        <w:rPr/>
      </w:pPr>
      <w:r>
        <w:rPr>
          <w:rFonts w:eastAsia="Times New Roman"/>
          <w:color w:val="000000"/>
          <w:szCs w:val="21"/>
          <w:lang w:eastAsia="en-US"/>
        </w:rPr>
        <w:t xml:space="preserve">A nota fiscal ou instrumento de cobrança equivalente deverá ser obrigatoriamente acompanhado da comprovação da regularidade </w:t>
      </w:r>
      <w:r>
        <w:rPr>
          <w:rFonts w:eastAsia="Calibri"/>
          <w:color w:val="000000"/>
          <w:szCs w:val="21"/>
          <w:lang w:eastAsia="en-US"/>
        </w:rPr>
        <w:t>fiscal</w:t>
      </w:r>
      <w:r>
        <w:rPr>
          <w:rFonts w:eastAsia="Times New Roman"/>
          <w:color w:val="000000"/>
          <w:szCs w:val="21"/>
          <w:lang w:eastAsia="en-US"/>
        </w:rPr>
        <w:t xml:space="preserve">, constatada por meio de consulta on-line ao SICAF ou, na impossibilidade de acesso ao referido Sistema, mediante consulta aos sítios eletrônicos oficiais ou à documentação mencionada no </w:t>
      </w:r>
      <w:r>
        <w:fldChar w:fldCharType="begin"/>
      </w:r>
      <w:r>
        <w:rPr>
          <w:rStyle w:val="LinkdaInternet"/>
          <w:szCs w:val="21"/>
          <w:rFonts w:eastAsia="Times New Roman"/>
          <w:color w:val="000000"/>
          <w:lang w:eastAsia="en-US"/>
        </w:rPr>
        <w:instrText> HYPERLINK "http://www.planalto.gov.br/ccivil_03/_ato2019-2022/2021/lei/L14133.htm" \l "art68"</w:instrText>
      </w:r>
      <w:r>
        <w:rPr>
          <w:rStyle w:val="LinkdaInternet"/>
          <w:szCs w:val="21"/>
          <w:rFonts w:eastAsia="Times New Roman"/>
          <w:color w:val="000000"/>
          <w:lang w:eastAsia="en-US"/>
        </w:rPr>
        <w:fldChar w:fldCharType="separate"/>
      </w:r>
      <w:r>
        <w:rPr>
          <w:rStyle w:val="LinkdaInternet"/>
          <w:rFonts w:eastAsia="Times New Roman"/>
          <w:color w:val="000000"/>
          <w:szCs w:val="21"/>
          <w:lang w:eastAsia="en-US"/>
        </w:rPr>
        <w:t>art. 68 da Lei nº 14.133, de 2021.</w:t>
      </w:r>
      <w:r>
        <w:rPr>
          <w:rStyle w:val="LinkdaInternet"/>
          <w:szCs w:val="21"/>
          <w:rFonts w:eastAsia="Times New Roman"/>
          <w:color w:val="000000"/>
          <w:lang w:eastAsia="en-US"/>
        </w:rPr>
        <w:fldChar w:fldCharType="end"/>
      </w:r>
    </w:p>
    <w:p>
      <w:pPr>
        <w:pStyle w:val="Nivel2"/>
        <w:numPr>
          <w:ilvl w:val="1"/>
          <w:numId w:val="226"/>
        </w:numPr>
        <w:tabs>
          <w:tab w:val="left" w:pos="0" w:leader="none"/>
          <w:tab w:val="left" w:pos="993" w:leader="none"/>
        </w:tabs>
        <w:spacing w:lineRule="auto" w:line="240"/>
        <w:ind w:left="0" w:firstLine="567"/>
        <w:rPr>
          <w:color w:val="000000"/>
        </w:rPr>
      </w:pPr>
      <w:r>
        <w:rPr>
          <w:rFonts w:eastAsia="Times New Roman"/>
          <w:color w:val="000000"/>
          <w:szCs w:val="21"/>
          <w:lang w:eastAsia="en-US"/>
        </w:rPr>
        <w:t xml:space="preserve">A Administração deverá realizar consulta, conforme item anterior, para: </w:t>
      </w:r>
    </w:p>
    <w:p>
      <w:pPr>
        <w:pStyle w:val="Normal"/>
        <w:numPr>
          <w:ilvl w:val="0"/>
          <w:numId w:val="227"/>
        </w:numPr>
        <w:tabs>
          <w:tab w:val="clear" w:pos="708"/>
          <w:tab w:val="left" w:pos="851" w:leader="none"/>
        </w:tabs>
        <w:spacing w:before="120" w:after="120"/>
        <w:ind w:left="567" w:hanging="0"/>
        <w:contextualSpacing/>
        <w:jc w:val="both"/>
        <w:rPr>
          <w:rFonts w:ascii="Arial" w:hAnsi="Arial"/>
          <w:sz w:val="21"/>
          <w:szCs w:val="21"/>
        </w:rPr>
      </w:pPr>
      <w:r>
        <w:rPr>
          <w:rFonts w:eastAsia="Calibri" w:cs="Arial" w:ascii="Arial" w:hAnsi="Arial"/>
          <w:color w:val="000000"/>
          <w:sz w:val="21"/>
          <w:szCs w:val="21"/>
          <w:lang w:eastAsia="en-US"/>
        </w:rPr>
        <w:t xml:space="preserve">verificar a manutenção das condições de habilitação exigidas no edital; </w:t>
      </w:r>
    </w:p>
    <w:p>
      <w:pPr>
        <w:pStyle w:val="Normal"/>
        <w:numPr>
          <w:ilvl w:val="0"/>
          <w:numId w:val="228"/>
        </w:numPr>
        <w:tabs>
          <w:tab w:val="clear" w:pos="708"/>
          <w:tab w:val="left" w:pos="851" w:leader="none"/>
        </w:tabs>
        <w:spacing w:before="120" w:after="120"/>
        <w:ind w:left="567" w:hanging="0"/>
        <w:contextualSpacing/>
        <w:jc w:val="both"/>
        <w:rPr>
          <w:rFonts w:ascii="Arial" w:hAnsi="Arial"/>
          <w:sz w:val="21"/>
          <w:szCs w:val="21"/>
        </w:rPr>
      </w:pPr>
      <w:r>
        <w:rPr>
          <w:rFonts w:eastAsia="Calibri" w:cs="Arial" w:ascii="Arial" w:hAnsi="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pPr>
        <w:pStyle w:val="Nivel2"/>
        <w:numPr>
          <w:ilvl w:val="1"/>
          <w:numId w:val="229"/>
        </w:numPr>
        <w:tabs>
          <w:tab w:val="left" w:pos="0" w:leader="none"/>
          <w:tab w:val="left" w:pos="993" w:leader="none"/>
        </w:tabs>
        <w:spacing w:lineRule="auto" w:line="240"/>
        <w:ind w:left="0" w:firstLine="567"/>
        <w:rPr>
          <w:szCs w:val="21"/>
        </w:rPr>
      </w:pPr>
      <w:r>
        <w:rPr>
          <w:rFonts w:eastAsia="Times New Roman"/>
          <w:szCs w:val="21"/>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230"/>
        </w:numPr>
        <w:tabs>
          <w:tab w:val="left" w:pos="0" w:leader="none"/>
          <w:tab w:val="left" w:pos="993" w:leader="none"/>
        </w:tabs>
        <w:spacing w:lineRule="auto" w:line="240"/>
        <w:ind w:left="0" w:firstLine="567"/>
        <w:rPr>
          <w:szCs w:val="21"/>
        </w:rPr>
      </w:pPr>
      <w:r>
        <w:rPr>
          <w:rFonts w:eastAsia="Times New Roman"/>
          <w:szCs w:val="21"/>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231"/>
        </w:numPr>
        <w:tabs>
          <w:tab w:val="left" w:pos="0" w:leader="none"/>
          <w:tab w:val="left" w:pos="993" w:leader="none"/>
        </w:tabs>
        <w:spacing w:lineRule="auto" w:line="240"/>
        <w:ind w:left="0" w:firstLine="567"/>
        <w:rPr>
          <w:szCs w:val="21"/>
        </w:rPr>
      </w:pPr>
      <w:r>
        <w:rPr>
          <w:rFonts w:eastAsia="Times New Roman"/>
          <w:szCs w:val="21"/>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232"/>
        </w:numPr>
        <w:tabs>
          <w:tab w:val="left" w:pos="0" w:leader="none"/>
          <w:tab w:val="left" w:pos="993" w:leader="none"/>
        </w:tabs>
        <w:spacing w:lineRule="auto" w:line="240"/>
        <w:ind w:left="0" w:firstLine="567"/>
        <w:rPr>
          <w:szCs w:val="21"/>
        </w:rPr>
      </w:pPr>
      <w:r>
        <w:rPr>
          <w:rFonts w:eastAsia="Times New Roman"/>
          <w:szCs w:val="21"/>
          <w:lang w:eastAsia="en-US"/>
        </w:rPr>
        <w:t>Havendo a efetiva execução do objeto, os pagamentos serão realizados normalmente, até que se decida pela rescisão do contrato, caso o contratado não regularize sua situação.</w:t>
      </w:r>
    </w:p>
    <w:p>
      <w:pPr>
        <w:pStyle w:val="Nivel2"/>
        <w:numPr>
          <w:ilvl w:val="1"/>
          <w:numId w:val="233"/>
        </w:numPr>
        <w:spacing w:lineRule="auto" w:line="240"/>
        <w:ind w:left="0" w:firstLine="567"/>
        <w:rPr>
          <w:szCs w:val="21"/>
        </w:rPr>
      </w:pPr>
      <w:r>
        <w:rPr>
          <w:szCs w:val="21"/>
        </w:rPr>
        <w:t>O pagamento será realizado por meio de ordem bancária, para crédito em banco, agência e conta-corrente indicados pelo contratado, com base no fornecimento efetuado, em até 30 (trinta) dias contados da apresentação da fatura correta que deverá corresponder ao produto efetivamente fornecido.</w:t>
      </w:r>
    </w:p>
    <w:p>
      <w:pPr>
        <w:pStyle w:val="Nivel2"/>
        <w:numPr>
          <w:ilvl w:val="1"/>
          <w:numId w:val="234"/>
        </w:numPr>
        <w:spacing w:lineRule="auto" w:line="240"/>
        <w:ind w:left="0" w:firstLine="567"/>
        <w:rPr>
          <w:szCs w:val="21"/>
        </w:rPr>
      </w:pPr>
      <w:r>
        <w:rPr>
          <w:szCs w:val="21"/>
        </w:rPr>
        <w:t>Será considerada data do pagamento o dia em que constar como emitida a ordem bancária para pagamento.</w:t>
      </w:r>
    </w:p>
    <w:p>
      <w:pPr>
        <w:pStyle w:val="Nivel2"/>
        <w:numPr>
          <w:ilvl w:val="1"/>
          <w:numId w:val="235"/>
        </w:numPr>
        <w:spacing w:lineRule="auto" w:line="240"/>
        <w:ind w:left="0" w:firstLine="567"/>
        <w:rPr>
          <w:szCs w:val="21"/>
        </w:rPr>
      </w:pPr>
      <w:r>
        <w:rPr>
          <w:szCs w:val="21"/>
        </w:rPr>
        <w:t>Quando</w:t>
      </w:r>
      <w:r>
        <w:rPr>
          <w:rFonts w:eastAsia="Times New Roman"/>
          <w:szCs w:val="21"/>
          <w:lang w:eastAsia="en-US"/>
        </w:rPr>
        <w:t xml:space="preserve"> do pagamento, será efetuada a retenção tributária prevista na legislação aplicável.</w:t>
      </w:r>
    </w:p>
    <w:p>
      <w:pPr>
        <w:pStyle w:val="Nivel3"/>
        <w:numPr>
          <w:ilvl w:val="2"/>
          <w:numId w:val="236"/>
        </w:numPr>
        <w:spacing w:lineRule="auto" w:line="240"/>
        <w:ind w:left="567" w:firstLine="284"/>
        <w:rPr>
          <w:sz w:val="21"/>
          <w:szCs w:val="21"/>
        </w:rPr>
      </w:pPr>
      <w:commentRangeStart w:id="63"/>
      <w:r>
        <w:rPr>
          <w:sz w:val="21"/>
          <w:szCs w:val="21"/>
          <w:lang w:eastAsia="en-US"/>
        </w:rPr>
        <w:t>Independentemente do percentual de tributo inserido na planilha, quando houver, serão retidos na fonte, quando da realização do pagamento, os percentuais estabeleci</w:t>
      </w:r>
      <w:r>
        <w:rPr>
          <w:color w:val="000000"/>
          <w:sz w:val="21"/>
          <w:szCs w:val="21"/>
          <w:lang w:eastAsia="en-US"/>
        </w:rPr>
        <w:t>dos na legislação vigente.</w:t>
      </w:r>
      <w:commentRangeEnd w:id="63"/>
      <w:r>
        <w:commentReference w:id="63"/>
      </w:r>
      <w:r>
        <w:rPr>
          <w:color w:val="000000"/>
          <w:sz w:val="21"/>
          <w:szCs w:val="21"/>
          <w:lang w:eastAsia="en-US"/>
        </w:rPr>
      </w:r>
    </w:p>
    <w:p>
      <w:pPr>
        <w:pStyle w:val="Nivel2"/>
        <w:numPr>
          <w:ilvl w:val="1"/>
          <w:numId w:val="237"/>
        </w:numPr>
        <w:spacing w:lineRule="auto" w:line="240"/>
        <w:ind w:left="0" w:firstLine="567"/>
        <w:rPr/>
      </w:pPr>
      <w:r>
        <w:rPr>
          <w:rFonts w:eastAsia="Times New Roman"/>
          <w:color w:val="000000"/>
          <w:szCs w:val="21"/>
          <w:lang w:eastAsia="en-US"/>
        </w:rPr>
        <w:t xml:space="preserve">O </w:t>
      </w:r>
      <w:r>
        <w:rPr>
          <w:color w:val="000000"/>
          <w:szCs w:val="21"/>
        </w:rPr>
        <w:t>contratado</w:t>
      </w:r>
      <w:r>
        <w:rPr>
          <w:rFonts w:eastAsia="Times New Roman"/>
          <w:color w:val="000000"/>
          <w:szCs w:val="21"/>
          <w:lang w:eastAsia="en-US"/>
        </w:rPr>
        <w:t xml:space="preserve"> regularmente optante pelo Simples Nacional, nos termos da </w:t>
      </w:r>
      <w:hyperlink r:id="rId33">
        <w:r>
          <w:rPr>
            <w:rStyle w:val="LinkdaInternet"/>
            <w:rFonts w:eastAsia="Times New Roman"/>
            <w:color w:val="000000"/>
            <w:szCs w:val="21"/>
          </w:rPr>
          <w:t>Lei Complementar nº 123, de 2006</w:t>
        </w:r>
      </w:hyperlink>
      <w:r>
        <w:rPr>
          <w:rFonts w:eastAsia="Times New Roman"/>
          <w:color w:val="000000"/>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ivel2"/>
        <w:numPr>
          <w:ilvl w:val="1"/>
          <w:numId w:val="238"/>
        </w:numPr>
        <w:spacing w:lineRule="auto" w:line="240"/>
        <w:ind w:left="0" w:firstLine="567"/>
        <w:rPr>
          <w:color w:val="000000"/>
        </w:rPr>
      </w:pPr>
      <w:r>
        <w:rPr>
          <w:rFonts w:eastAsia="Times New Roman"/>
          <w:color w:val="000000"/>
          <w:szCs w:val="21"/>
        </w:rPr>
        <w:t xml:space="preserve">No caso </w:t>
      </w:r>
      <w:r>
        <w:rPr>
          <w:rFonts w:eastAsia="Times New Roman"/>
          <w:color w:val="000000"/>
          <w:szCs w:val="21"/>
          <w:lang w:eastAsia="en-US"/>
        </w:rPr>
        <w:t>de</w:t>
      </w:r>
      <w:r>
        <w:rPr>
          <w:rFonts w:eastAsia="Times New Roman"/>
          <w:color w:val="000000"/>
          <w:szCs w:val="21"/>
        </w:rPr>
        <w:t xml:space="preserve"> atraso pelo </w:t>
      </w:r>
      <w:r>
        <w:rPr>
          <w:rFonts w:eastAsia="Calibri"/>
          <w:color w:val="000000"/>
          <w:szCs w:val="21"/>
          <w:lang w:eastAsia="en-US"/>
        </w:rPr>
        <w:t xml:space="preserve">Contratante, os valores devidos ao contratado serão atualizados monetariamente entre o termo final do prazo de pagamento até a data de sua efetiva realização, mediante aplicação do índice de correção monetária - </w:t>
      </w:r>
      <w:commentRangeStart w:id="64"/>
      <w:r>
        <w:rPr>
          <w:rFonts w:eastAsia="Calibri"/>
          <w:color w:val="000000"/>
          <w:szCs w:val="21"/>
          <w:lang w:eastAsia="en-US"/>
        </w:rPr>
        <w:t>Índice Nacional de Preços ao Consumidor Amplo – IPCA, e na sua falta, aquele que vier a substituí-lo.</w:t>
      </w:r>
      <w:commentRangeEnd w:id="64"/>
      <w:r>
        <w:commentReference w:id="64"/>
      </w:r>
      <w:r>
        <w:rPr>
          <w:rFonts w:eastAsia="Calibri"/>
          <w:color w:val="000000"/>
          <w:szCs w:val="21"/>
          <w:lang w:eastAsia="en-US"/>
        </w:rPr>
      </w:r>
    </w:p>
    <w:p>
      <w:pPr>
        <w:pStyle w:val="Nivel2"/>
        <w:numPr>
          <w:ilvl w:val="1"/>
          <w:numId w:val="239"/>
        </w:numPr>
        <w:spacing w:lineRule="auto" w:line="240"/>
        <w:ind w:left="0" w:firstLine="567"/>
        <w:rPr/>
      </w:pPr>
      <w:r>
        <w:rPr>
          <w:rFonts w:eastAsia="Times New Roman"/>
          <w:color w:val="000000"/>
          <w:szCs w:val="21"/>
          <w:lang w:eastAsia="en-US"/>
        </w:rPr>
        <w:t>A liberação do pagamento fica vinculada à apresentação da NOTA FISCAL através do  portal do Fornecedor (</w:t>
      </w:r>
      <w:r>
        <w:rPr>
          <w:rStyle w:val="LinkdaInternet"/>
          <w:rFonts w:eastAsia="Times New Roman"/>
          <w:color w:val="000000"/>
          <w:szCs w:val="21"/>
          <w:lang w:eastAsia="en-US"/>
        </w:rPr>
        <w:t xml:space="preserve">www.sjp.pr.gov.br/secretarias/secretaria-administracao/portal-do-fornecedor/ </w:t>
      </w:r>
      <w:r>
        <w:rPr>
          <w:rFonts w:eastAsia="Times New Roman"/>
          <w:color w:val="000000"/>
          <w:szCs w:val="21"/>
          <w:lang w:eastAsia="en-US"/>
        </w:rPr>
        <w:t>), juntamente com a comprovação da continuidade das condições de habilitação, em especial:</w:t>
      </w:r>
    </w:p>
    <w:p>
      <w:pPr>
        <w:pStyle w:val="Nivel3"/>
        <w:numPr>
          <w:ilvl w:val="2"/>
          <w:numId w:val="240"/>
        </w:numPr>
        <w:tabs>
          <w:tab w:val="left" w:pos="0" w:leader="none"/>
          <w:tab w:val="left" w:pos="1701" w:leader="none"/>
        </w:tabs>
        <w:spacing w:lineRule="auto" w:line="240"/>
        <w:ind w:left="567" w:firstLine="284"/>
        <w:rPr>
          <w:color w:val="000000"/>
        </w:rPr>
      </w:pPr>
      <w:r>
        <w:rPr>
          <w:color w:val="000000"/>
          <w:sz w:val="21"/>
          <w:szCs w:val="21"/>
          <w:lang w:eastAsia="en-US"/>
        </w:rPr>
        <w:t>Prova de Regularidade (certidão) relativa à Seguridade Social (INSS) e ao Fundo de Garantia por Tempo de Serviços (FGTS), em plena validade.</w:t>
      </w:r>
    </w:p>
    <w:p>
      <w:pPr>
        <w:pStyle w:val="Nivel3"/>
        <w:numPr>
          <w:ilvl w:val="2"/>
          <w:numId w:val="241"/>
        </w:numPr>
        <w:tabs>
          <w:tab w:val="left" w:pos="0" w:leader="none"/>
          <w:tab w:val="left" w:pos="1701" w:leader="none"/>
        </w:tabs>
        <w:spacing w:lineRule="auto" w:line="240"/>
        <w:ind w:left="567" w:firstLine="284"/>
        <w:rPr>
          <w:sz w:val="21"/>
          <w:szCs w:val="21"/>
        </w:rPr>
      </w:pPr>
      <w:r>
        <w:rPr>
          <w:color w:val="000000"/>
          <w:sz w:val="21"/>
          <w:szCs w:val="21"/>
          <w:lang w:eastAsia="en-US"/>
        </w:rPr>
        <w:t>Certidão que comprove Regularida</w:t>
      </w:r>
      <w:r>
        <w:rPr>
          <w:sz w:val="21"/>
          <w:szCs w:val="21"/>
          <w:lang w:eastAsia="en-US"/>
        </w:rPr>
        <w:t xml:space="preserve">de de Tributos Municipais junto ao Município de São José dos Pinhais, em plena </w:t>
      </w:r>
      <w:commentRangeStart w:id="65"/>
      <w:r>
        <w:rPr>
          <w:sz w:val="21"/>
          <w:szCs w:val="21"/>
          <w:lang w:eastAsia="en-US"/>
        </w:rPr>
        <w:t>validade</w:t>
      </w:r>
      <w:r>
        <w:rPr>
          <w:sz w:val="21"/>
          <w:szCs w:val="21"/>
          <w:lang w:eastAsia="en-US"/>
        </w:rPr>
      </w:r>
      <w:commentRangeEnd w:id="65"/>
      <w:r>
        <w:commentReference w:id="65"/>
      </w:r>
      <w:r>
        <w:rPr>
          <w:sz w:val="21"/>
          <w:szCs w:val="21"/>
          <w:lang w:eastAsia="en-US"/>
        </w:rPr>
        <w:t xml:space="preserve">. (Art. 242 da </w:t>
      </w:r>
      <w:r>
        <w:rPr>
          <w:sz w:val="21"/>
          <w:szCs w:val="21"/>
        </w:rPr>
        <w:t xml:space="preserve">Lei Municipal </w:t>
      </w:r>
      <w:r>
        <w:rPr>
          <w:iCs/>
          <w:sz w:val="21"/>
          <w:szCs w:val="21"/>
        </w:rPr>
        <w:t>Complementar nº 01/2003)</w:t>
      </w:r>
      <w:r>
        <w:rPr>
          <w:i/>
          <w:iCs/>
          <w:sz w:val="21"/>
          <w:szCs w:val="21"/>
        </w:rPr>
        <w:t>.</w:t>
      </w:r>
    </w:p>
    <w:p>
      <w:pPr>
        <w:pStyle w:val="Nivel01"/>
        <w:numPr>
          <w:ilvl w:val="0"/>
          <w:numId w:val="242"/>
        </w:numPr>
        <w:ind w:left="0" w:right="0" w:hanging="0"/>
        <w:rPr/>
      </w:pPr>
      <w:commentRangeStart w:id="66"/>
      <w:r>
        <w:rPr>
          <w:sz w:val="21"/>
          <w:szCs w:val="21"/>
        </w:rPr>
        <w:t>CLÁUSULA SÉTIMA - REAJUSTE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w:t>
      </w:r>
      <w:r>
        <w:rPr>
          <w:rStyle w:val="LinkdaInternet"/>
          <w:sz w:val="21"/>
          <w:szCs w:val="21"/>
        </w:rPr>
        <w:fldChar w:fldCharType="end"/>
      </w:r>
      <w:r>
        <w:rPr>
          <w:sz w:val="21"/>
          <w:szCs w:val="21"/>
        </w:rPr>
        <w:t>)</w:t>
      </w:r>
      <w:commentRangeEnd w:id="66"/>
      <w:r>
        <w:commentReference w:id="66"/>
      </w:r>
      <w:r>
        <w:rPr>
          <w:sz w:val="21"/>
          <w:szCs w:val="21"/>
        </w:rPr>
      </w:r>
    </w:p>
    <w:p>
      <w:pPr>
        <w:pStyle w:val="Nivel2"/>
        <w:tabs>
          <w:tab w:val="clear" w:pos="0"/>
          <w:tab w:val="left" w:pos="993" w:leader="none"/>
        </w:tabs>
        <w:ind w:left="567" w:hanging="0"/>
        <w:rPr>
          <w:szCs w:val="21"/>
        </w:rPr>
      </w:pPr>
      <w:r>
        <w:rPr>
          <w:szCs w:val="21"/>
        </w:rPr>
      </w:r>
    </w:p>
    <w:p>
      <w:pPr>
        <w:pStyle w:val="Nivel2"/>
        <w:numPr>
          <w:ilvl w:val="1"/>
          <w:numId w:val="243"/>
        </w:numPr>
        <w:tabs>
          <w:tab w:val="left" w:pos="0" w:leader="none"/>
          <w:tab w:val="left" w:pos="993" w:leader="none"/>
        </w:tabs>
        <w:ind w:left="0" w:firstLine="567"/>
        <w:rPr>
          <w:szCs w:val="21"/>
        </w:rPr>
      </w:pPr>
      <w:r>
        <w:rPr>
          <w:szCs w:val="21"/>
        </w:rPr>
        <w:t xml:space="preserve">Os preços inicialmente contratados são fixos e irreajustáveis no prazo de um ano contado da data do orçamento estimado, em </w:t>
      </w:r>
      <w:r>
        <w:rPr>
          <w:i/>
          <w:iCs/>
          <w:color w:val="FF0000"/>
          <w:szCs w:val="21"/>
        </w:rPr>
        <w:t>__/__/__ (DD/MM/AAAA)</w:t>
      </w:r>
      <w:r>
        <w:rPr>
          <w:szCs w:val="21"/>
        </w:rPr>
        <w:t>.</w:t>
      </w:r>
    </w:p>
    <w:p>
      <w:pPr>
        <w:pStyle w:val="Nivel2"/>
        <w:numPr>
          <w:ilvl w:val="1"/>
          <w:numId w:val="244"/>
        </w:numPr>
        <w:tabs>
          <w:tab w:val="left" w:pos="0" w:leader="none"/>
          <w:tab w:val="left" w:pos="993" w:leader="none"/>
        </w:tabs>
        <w:ind w:left="0" w:firstLine="567"/>
        <w:rPr>
          <w:szCs w:val="21"/>
        </w:rPr>
      </w:pPr>
      <w:commentRangeStart w:id="67"/>
      <w:r>
        <w:rPr>
          <w:szCs w:val="21"/>
        </w:rPr>
        <w:t xml:space="preserve">Após o interregno de um ano, e independentemente de pedido do </w:t>
      </w:r>
      <w:commentRangeStart w:id="68"/>
      <w:r>
        <w:rPr>
          <w:szCs w:val="21"/>
        </w:rPr>
        <w:t>contratado</w:t>
      </w:r>
      <w:bookmarkStart w:id="74" w:name="_Hlk132722410"/>
      <w:bookmarkEnd w:id="74"/>
      <w:r>
        <w:rPr>
          <w:szCs w:val="21"/>
        </w:rPr>
      </w:r>
      <w:commentRangeEnd w:id="68"/>
      <w:r>
        <w:commentReference w:id="68"/>
      </w:r>
      <w:r>
        <w:rPr>
          <w:szCs w:val="21"/>
        </w:rPr>
        <w:t>, os preços iniciais serão reajustados,</w:t>
      </w:r>
      <w:r>
        <w:rPr>
          <w:szCs w:val="21"/>
          <w:shd w:fill="FFFFFF" w:val="clear"/>
        </w:rPr>
        <w:t xml:space="preserve"> mediante a aplicação, pelo contratante, do</w:t>
      </w:r>
      <w:r>
        <w:rPr>
          <w:szCs w:val="21"/>
          <w:shd w:fill="FFFFFF" w:val="clear"/>
        </w:rPr>
        <w:t xml:space="preserve"> Índice Nacional de Preços ao Consumidor Amplo (IPCA)</w:t>
      </w:r>
      <w:r>
        <w:rPr>
          <w:i/>
          <w:iCs/>
          <w:szCs w:val="21"/>
        </w:rPr>
        <w:t>,</w:t>
      </w:r>
      <w:r>
        <w:rPr>
          <w:szCs w:val="21"/>
        </w:rPr>
        <w:t>exclusivamente para as obrigações iniciadas e concluídas após a ocorrência da anualidade</w:t>
      </w:r>
      <w:r>
        <w:rPr>
          <w:szCs w:val="21"/>
        </w:rPr>
      </w:r>
      <w:commentRangeEnd w:id="67"/>
      <w:r>
        <w:commentReference w:id="67"/>
      </w:r>
      <w:r>
        <w:rPr>
          <w:szCs w:val="21"/>
        </w:rPr>
        <w:t>.</w:t>
      </w:r>
    </w:p>
    <w:p>
      <w:pPr>
        <w:pStyle w:val="Nivel2"/>
        <w:numPr>
          <w:ilvl w:val="1"/>
          <w:numId w:val="245"/>
        </w:numPr>
        <w:tabs>
          <w:tab w:val="left" w:pos="0" w:leader="none"/>
          <w:tab w:val="left" w:pos="993" w:leader="none"/>
        </w:tabs>
        <w:ind w:left="0" w:firstLine="567"/>
        <w:rPr>
          <w:szCs w:val="21"/>
        </w:rPr>
      </w:pPr>
      <w:r>
        <w:rPr>
          <w:szCs w:val="21"/>
        </w:rPr>
        <w:t>Nos reajustes subsequentes ao primeiro, o interregno mínimo de um ano será contado a partir dos efeitos financeiros do último reajuste.</w:t>
      </w:r>
    </w:p>
    <w:p>
      <w:pPr>
        <w:pStyle w:val="Nivel2"/>
        <w:numPr>
          <w:ilvl w:val="1"/>
          <w:numId w:val="246"/>
        </w:numPr>
        <w:tabs>
          <w:tab w:val="left" w:pos="0" w:leader="none"/>
          <w:tab w:val="left" w:pos="993" w:leader="none"/>
        </w:tabs>
        <w:ind w:left="0" w:firstLine="567"/>
        <w:rPr>
          <w:szCs w:val="21"/>
        </w:rPr>
      </w:pPr>
      <w:r>
        <w:rPr>
          <w:szCs w:val="2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247"/>
        </w:numPr>
        <w:tabs>
          <w:tab w:val="left" w:pos="0" w:leader="none"/>
          <w:tab w:val="left" w:pos="993" w:leader="none"/>
        </w:tabs>
        <w:ind w:left="0" w:firstLine="567"/>
        <w:rPr>
          <w:szCs w:val="21"/>
        </w:rPr>
      </w:pPr>
      <w:r>
        <w:rPr>
          <w:szCs w:val="21"/>
        </w:rPr>
        <w:t>Nas aferições finais, o(s) índice(s) utilizado(s) para reajuste será(ão), obrigatoriamente, o(s) definitivo(s).</w:t>
      </w:r>
    </w:p>
    <w:p>
      <w:pPr>
        <w:pStyle w:val="Nivel2"/>
        <w:numPr>
          <w:ilvl w:val="1"/>
          <w:numId w:val="248"/>
        </w:numPr>
        <w:tabs>
          <w:tab w:val="left" w:pos="0" w:leader="none"/>
          <w:tab w:val="left" w:pos="993" w:leader="none"/>
        </w:tabs>
        <w:ind w:left="0" w:firstLine="567"/>
        <w:rPr>
          <w:szCs w:val="21"/>
        </w:rPr>
      </w:pPr>
      <w:r>
        <w:rPr>
          <w:szCs w:val="21"/>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249"/>
        </w:numPr>
        <w:tabs>
          <w:tab w:val="left" w:pos="0" w:leader="none"/>
          <w:tab w:val="left" w:pos="993" w:leader="none"/>
        </w:tabs>
        <w:ind w:left="0" w:firstLine="567"/>
        <w:rPr>
          <w:szCs w:val="21"/>
        </w:rPr>
      </w:pPr>
      <w:r>
        <w:rPr>
          <w:szCs w:val="21"/>
        </w:rPr>
        <w:t xml:space="preserve">Na ausência de previsão legal quanto ao índice substituto, as partes elegerão novo índice oficial, para reajustamento do preço do valor remanescente, por meio de termo aditivo. </w:t>
      </w:r>
    </w:p>
    <w:p>
      <w:pPr>
        <w:pStyle w:val="Nivel2"/>
        <w:numPr>
          <w:ilvl w:val="1"/>
          <w:numId w:val="250"/>
        </w:numPr>
        <w:tabs>
          <w:tab w:val="left" w:pos="0" w:leader="none"/>
          <w:tab w:val="left" w:pos="993" w:leader="none"/>
        </w:tabs>
        <w:ind w:left="0" w:firstLine="567"/>
        <w:rPr>
          <w:szCs w:val="21"/>
        </w:rPr>
      </w:pPr>
      <w:r>
        <w:rPr>
          <w:szCs w:val="21"/>
        </w:rPr>
        <w:t>O reajuste será realizado por apostilamento.</w:t>
      </w:r>
    </w:p>
    <w:p>
      <w:pPr>
        <w:pStyle w:val="Nivel01"/>
        <w:numPr>
          <w:ilvl w:val="0"/>
          <w:numId w:val="251"/>
        </w:numPr>
        <w:spacing w:lineRule="auto" w:line="276" w:before="0" w:after="240"/>
        <w:ind w:left="0" w:right="0" w:hanging="0"/>
        <w:rPr/>
      </w:pPr>
      <w:r>
        <w:rPr>
          <w:sz w:val="21"/>
          <w:szCs w:val="21"/>
        </w:rPr>
        <w:t xml:space="preserve">CLÁUSULA OITAVA - OBRIGAÇÕES DO CONTRATANTE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commentRangeStart w:id="69"/>
      <w:r>
        <w:rPr>
          <w:rStyle w:val="LinkdaInternet"/>
          <w:sz w:val="21"/>
          <w:szCs w:val="21"/>
        </w:rPr>
        <w:t>(art. 92, X, XI e XIV</w:t>
      </w:r>
      <w:r>
        <w:rPr>
          <w:rStyle w:val="LinkdaInternet"/>
          <w:sz w:val="21"/>
          <w:szCs w:val="21"/>
        </w:rPr>
        <w:fldChar w:fldCharType="end"/>
      </w:r>
      <w:r>
        <w:rPr>
          <w:rStyle w:val="LinkdaInternet"/>
          <w:sz w:val="21"/>
          <w:szCs w:val="21"/>
        </w:rPr>
      </w:r>
      <w:commentRangeEnd w:id="69"/>
      <w:r>
        <w:commentReference w:id="69"/>
      </w:r>
      <w:r>
        <w:rPr>
          <w:sz w:val="21"/>
          <w:szCs w:val="21"/>
        </w:rPr>
        <w:t>)</w:t>
      </w:r>
    </w:p>
    <w:p>
      <w:pPr>
        <w:pStyle w:val="Nivel2"/>
        <w:numPr>
          <w:ilvl w:val="1"/>
          <w:numId w:val="252"/>
        </w:numPr>
        <w:tabs>
          <w:tab w:val="left" w:pos="0" w:leader="none"/>
          <w:tab w:val="left" w:pos="993" w:leader="none"/>
        </w:tabs>
        <w:ind w:left="0" w:firstLine="567"/>
        <w:rPr>
          <w:szCs w:val="21"/>
        </w:rPr>
      </w:pPr>
      <w:r>
        <w:rPr>
          <w:szCs w:val="21"/>
        </w:rPr>
        <w:t>São obrigações do Contratante:</w:t>
      </w:r>
    </w:p>
    <w:p>
      <w:pPr>
        <w:pStyle w:val="Nivel2"/>
        <w:numPr>
          <w:ilvl w:val="1"/>
          <w:numId w:val="253"/>
        </w:numPr>
        <w:tabs>
          <w:tab w:val="left" w:pos="0" w:leader="none"/>
          <w:tab w:val="left" w:pos="993" w:leader="none"/>
        </w:tabs>
        <w:ind w:left="0" w:firstLine="567"/>
        <w:rPr>
          <w:szCs w:val="21"/>
        </w:rPr>
      </w:pPr>
      <w:r>
        <w:rPr>
          <w:szCs w:val="21"/>
        </w:rPr>
        <w:t>Exigir o cumprimento de todas as obrigações assumidas pelo Contratado, de acordo com o contrato e seus anexos.</w:t>
      </w:r>
    </w:p>
    <w:p>
      <w:pPr>
        <w:pStyle w:val="Nivel2"/>
        <w:numPr>
          <w:ilvl w:val="1"/>
          <w:numId w:val="254"/>
        </w:numPr>
        <w:tabs>
          <w:tab w:val="left" w:pos="0" w:leader="none"/>
          <w:tab w:val="left" w:pos="993" w:leader="none"/>
        </w:tabs>
        <w:ind w:left="0" w:firstLine="567"/>
        <w:rPr>
          <w:szCs w:val="21"/>
        </w:rPr>
      </w:pPr>
      <w:r>
        <w:rPr>
          <w:szCs w:val="21"/>
        </w:rPr>
        <w:t>Receber o objeto no prazo e condições estabelecidas no Termo de Referência.</w:t>
      </w:r>
    </w:p>
    <w:p>
      <w:pPr>
        <w:pStyle w:val="Nivel2"/>
        <w:numPr>
          <w:ilvl w:val="1"/>
          <w:numId w:val="255"/>
        </w:numPr>
        <w:tabs>
          <w:tab w:val="left" w:pos="0" w:leader="none"/>
          <w:tab w:val="left" w:pos="993" w:leader="none"/>
        </w:tabs>
        <w:ind w:left="0" w:firstLine="567"/>
        <w:rPr>
          <w:szCs w:val="21"/>
        </w:rPr>
      </w:pPr>
      <w:r>
        <w:rPr>
          <w:szCs w:val="21"/>
        </w:rPr>
        <w:t>Notificar o Contratado, por escrito, sobre vícios, defeitos ou incorreções verificadas no objeto fornecido, para que seja por ele substituído, reparado ou corrigido, no total ou em parte, às suas expensas.</w:t>
      </w:r>
    </w:p>
    <w:p>
      <w:pPr>
        <w:pStyle w:val="Nivel2"/>
        <w:numPr>
          <w:ilvl w:val="1"/>
          <w:numId w:val="256"/>
        </w:numPr>
        <w:tabs>
          <w:tab w:val="left" w:pos="0" w:leader="none"/>
          <w:tab w:val="left" w:pos="993" w:leader="none"/>
        </w:tabs>
        <w:ind w:left="0" w:firstLine="567"/>
        <w:rPr>
          <w:szCs w:val="21"/>
        </w:rPr>
      </w:pPr>
      <w:r>
        <w:rPr>
          <w:szCs w:val="21"/>
        </w:rPr>
        <w:t>Acompanhar e fiscalizar a execução do contrato e o cumprimento das obrigações pelo Contratado.</w:t>
      </w:r>
    </w:p>
    <w:p>
      <w:pPr>
        <w:pStyle w:val="Nivel2"/>
        <w:numPr>
          <w:ilvl w:val="1"/>
          <w:numId w:val="257"/>
        </w:numPr>
        <w:tabs>
          <w:tab w:val="left" w:pos="0" w:leader="none"/>
          <w:tab w:val="left" w:pos="993" w:leader="none"/>
        </w:tabs>
        <w:ind w:left="0" w:firstLine="567"/>
        <w:rPr>
          <w:szCs w:val="21"/>
        </w:rPr>
      </w:pPr>
      <w:r>
        <w:rPr>
          <w:szCs w:val="21"/>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r>
        <w:rPr>
          <w:bCs/>
          <w:szCs w:val="21"/>
        </w:rPr>
        <w:t>.</w:t>
      </w:r>
    </w:p>
    <w:p>
      <w:pPr>
        <w:pStyle w:val="Nivel2"/>
        <w:numPr>
          <w:ilvl w:val="1"/>
          <w:numId w:val="258"/>
        </w:numPr>
        <w:tabs>
          <w:tab w:val="left" w:pos="0" w:leader="none"/>
          <w:tab w:val="left" w:pos="993" w:leader="none"/>
        </w:tabs>
        <w:ind w:left="0" w:firstLine="567"/>
        <w:rPr>
          <w:szCs w:val="21"/>
        </w:rPr>
      </w:pPr>
      <w:r>
        <w:rPr>
          <w:szCs w:val="21"/>
        </w:rPr>
        <w:t>Efetuar o pagamento ao Contratado do valor correspondente à execução do objeto, no prazo, forma e condições estabelecidos no presente Contrato e no Termo de Referência.</w:t>
      </w:r>
    </w:p>
    <w:p>
      <w:pPr>
        <w:pStyle w:val="Nivel2"/>
        <w:numPr>
          <w:ilvl w:val="1"/>
          <w:numId w:val="259"/>
        </w:numPr>
        <w:tabs>
          <w:tab w:val="left" w:pos="0" w:leader="none"/>
          <w:tab w:val="left" w:pos="993" w:leader="none"/>
        </w:tabs>
        <w:ind w:left="0" w:firstLine="567"/>
        <w:rPr>
          <w:szCs w:val="21"/>
        </w:rPr>
      </w:pPr>
      <w:r>
        <w:rPr>
          <w:szCs w:val="21"/>
        </w:rPr>
        <w:t>Aplicar ao Contratado as sanções previstas na lei e neste Contrato.</w:t>
      </w:r>
    </w:p>
    <w:p>
      <w:pPr>
        <w:pStyle w:val="Nivel2"/>
        <w:numPr>
          <w:ilvl w:val="1"/>
          <w:numId w:val="260"/>
        </w:numPr>
        <w:tabs>
          <w:tab w:val="left" w:pos="0" w:leader="none"/>
          <w:tab w:val="left" w:pos="993" w:leader="none"/>
        </w:tabs>
        <w:ind w:left="567" w:hanging="0"/>
        <w:rPr>
          <w:szCs w:val="21"/>
        </w:rPr>
      </w:pPr>
      <w:r>
        <w:rPr>
          <w:szCs w:val="21"/>
        </w:rPr>
        <w:t xml:space="preserve">Cientificar o </w:t>
      </w:r>
      <w:r>
        <w:rPr>
          <w:szCs w:val="21"/>
          <w:lang w:val="pt-PT"/>
        </w:rPr>
        <w:t>Secretário da Unidade Requisitante</w:t>
      </w:r>
      <w:r>
        <w:rPr>
          <w:szCs w:val="21"/>
        </w:rPr>
        <w:t>/Procuradoria Geral do Município para adoção das medidas cabíveis quando do descumprimento de obrigações pelo Contratado. (Artigo nº 344 do Decreto Municipal nº 5.807/2023).</w:t>
      </w:r>
    </w:p>
    <w:p>
      <w:pPr>
        <w:pStyle w:val="Nivel2"/>
        <w:numPr>
          <w:ilvl w:val="1"/>
          <w:numId w:val="261"/>
        </w:numPr>
        <w:tabs>
          <w:tab w:val="left" w:pos="0" w:leader="none"/>
          <w:tab w:val="left" w:pos="993" w:leader="none"/>
        </w:tabs>
        <w:ind w:left="0" w:firstLine="567"/>
        <w:rPr>
          <w:szCs w:val="21"/>
        </w:rPr>
      </w:pPr>
      <w:r>
        <w:rPr>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262"/>
        </w:numPr>
        <w:tabs>
          <w:tab w:val="left" w:pos="0" w:leader="none"/>
          <w:tab w:val="left" w:pos="1701" w:leader="none"/>
        </w:tabs>
        <w:ind w:left="284" w:firstLine="567"/>
        <w:rPr>
          <w:sz w:val="21"/>
          <w:szCs w:val="21"/>
        </w:rPr>
      </w:pPr>
      <w:commentRangeStart w:id="70"/>
      <w:r>
        <w:rPr>
          <w:sz w:val="21"/>
          <w:szCs w:val="21"/>
        </w:rPr>
        <w:t xml:space="preserve">A Administração terá o prazo </w:t>
      </w:r>
      <w:r>
        <w:rPr>
          <w:color w:val="auto"/>
          <w:sz w:val="21"/>
          <w:szCs w:val="21"/>
        </w:rPr>
        <w:t xml:space="preserve">de 01 (um) mês, a contar da data do protocolo do requerimento para decidir, admitida a prorrogação motivada, por igual período. </w:t>
      </w:r>
      <w:commentRangeEnd w:id="70"/>
      <w:r>
        <w:commentReference w:id="70"/>
      </w:r>
      <w:r>
        <w:rPr>
          <w:color w:val="auto"/>
          <w:sz w:val="21"/>
          <w:szCs w:val="21"/>
        </w:rPr>
      </w:r>
    </w:p>
    <w:p>
      <w:pPr>
        <w:pStyle w:val="Nivel2"/>
        <w:numPr>
          <w:ilvl w:val="1"/>
          <w:numId w:val="263"/>
        </w:numPr>
        <w:ind w:left="0" w:firstLine="567"/>
        <w:rPr>
          <w:szCs w:val="21"/>
        </w:rPr>
      </w:pPr>
      <w:commentRangeStart w:id="71"/>
      <w:r>
        <w:rPr>
          <w:color w:val="auto"/>
          <w:szCs w:val="21"/>
        </w:rPr>
        <w:t xml:space="preserve">Responder eventuais pedidos de restabelecimento do equilíbrio econômico-financeiro feitos pelo </w:t>
      </w:r>
      <w:r>
        <w:rPr>
          <w:i w:val="false"/>
          <w:iCs w:val="false"/>
          <w:color w:val="000000"/>
          <w:szCs w:val="21"/>
        </w:rPr>
        <w:t>contratado no prazo máximo de 01 (um) mês.</w:t>
      </w:r>
      <w:commentRangeEnd w:id="71"/>
      <w:r>
        <w:commentReference w:id="71"/>
      </w:r>
      <w:r>
        <w:rPr>
          <w:i w:val="false"/>
          <w:iCs w:val="false"/>
          <w:color w:val="000000"/>
          <w:szCs w:val="21"/>
        </w:rPr>
      </w:r>
    </w:p>
    <w:p>
      <w:pPr>
        <w:pStyle w:val="Nvel2Red"/>
        <w:numPr>
          <w:ilvl w:val="1"/>
          <w:numId w:val="264"/>
        </w:numPr>
        <w:ind w:left="0" w:firstLine="567"/>
        <w:rPr>
          <w:i w:val="false"/>
          <w:i w:val="false"/>
          <w:iCs w:val="false"/>
          <w:color w:val="000000"/>
        </w:rPr>
      </w:pPr>
      <w:bookmarkStart w:id="75" w:name="_Hlk114499841"/>
      <w:bookmarkEnd w:id="75"/>
      <w:commentRangeStart w:id="72"/>
      <w:r>
        <w:rPr>
          <w:i w:val="false"/>
          <w:iCs w:val="false"/>
          <w:color w:val="000000"/>
          <w:szCs w:val="21"/>
        </w:rPr>
        <w:t>Notificar os emitentes das garantias quanto ao início de processo administrativo para apuração de descumprimento de cláusulas contratuais.</w:t>
      </w:r>
      <w:commentRangeEnd w:id="72"/>
      <w:r>
        <w:commentReference w:id="72"/>
      </w:r>
      <w:r>
        <w:rPr>
          <w:i w:val="false"/>
          <w:iCs w:val="false"/>
          <w:color w:val="000000"/>
          <w:szCs w:val="21"/>
        </w:rPr>
      </w:r>
    </w:p>
    <w:p>
      <w:pPr>
        <w:pStyle w:val="Nivel2"/>
        <w:numPr>
          <w:ilvl w:val="1"/>
          <w:numId w:val="265"/>
        </w:numPr>
        <w:ind w:left="0" w:firstLine="567"/>
        <w:rPr/>
      </w:pPr>
      <w:r>
        <w:rPr>
          <w:i w:val="false"/>
          <w:iCs w:val="false"/>
          <w:color w:val="000000"/>
          <w:szCs w:val="21"/>
        </w:rPr>
        <w:t xml:space="preserve">Comunicar o Contratado na hipótese de posterior alteração do projeto pelo Contratante, no caso </w:t>
      </w:r>
      <w:r>
        <w:fldChar w:fldCharType="begin"/>
      </w:r>
      <w:r>
        <w:rPr>
          <w:rStyle w:val="LinkdaInternet"/>
          <w:i w:val="false"/>
          <w:szCs w:val="21"/>
          <w:iCs w:val="false"/>
          <w:color w:val="000000"/>
        </w:rPr>
        <w:instrText> HYPERLINK "http://www.planalto.gov.br/ccivil_03/_ato2019-2022/2021/lei/L14133.htm" \l "art93§2"</w:instrText>
      </w:r>
      <w:r>
        <w:rPr>
          <w:rStyle w:val="LinkdaInternet"/>
          <w:i w:val="false"/>
          <w:szCs w:val="21"/>
          <w:iCs w:val="false"/>
          <w:color w:val="000000"/>
        </w:rPr>
        <w:fldChar w:fldCharType="separate"/>
      </w:r>
      <w:r>
        <w:rPr>
          <w:rStyle w:val="LinkdaInternet"/>
          <w:i w:val="false"/>
          <w:iCs w:val="false"/>
          <w:color w:val="000000"/>
          <w:szCs w:val="21"/>
        </w:rPr>
        <w:t>do art. 93, §2º, da Lei nº 14.133, de 2021</w:t>
      </w:r>
      <w:r>
        <w:rPr>
          <w:rStyle w:val="LinkdaInternet"/>
          <w:i w:val="false"/>
          <w:szCs w:val="21"/>
          <w:iCs w:val="false"/>
          <w:color w:val="000000"/>
        </w:rPr>
        <w:fldChar w:fldCharType="end"/>
      </w:r>
      <w:r>
        <w:rPr>
          <w:i w:val="false"/>
          <w:iCs w:val="false"/>
          <w:color w:val="000000"/>
          <w:szCs w:val="21"/>
        </w:rPr>
        <w:t>.</w:t>
      </w:r>
    </w:p>
    <w:p>
      <w:pPr>
        <w:pStyle w:val="Nivel2"/>
        <w:numPr>
          <w:ilvl w:val="1"/>
          <w:numId w:val="266"/>
        </w:numPr>
        <w:ind w:left="0" w:firstLine="567"/>
        <w:rPr>
          <w:szCs w:val="21"/>
        </w:rPr>
      </w:pPr>
      <w:r>
        <w:rPr>
          <w:i w:val="false"/>
          <w:iCs w:val="false"/>
          <w:color w:val="000000"/>
          <w:szCs w:val="21"/>
        </w:rPr>
        <w:t xml:space="preserve">A Administração não responderá </w:t>
      </w:r>
      <w:r>
        <w:rPr>
          <w:szCs w:val="21"/>
        </w:rPr>
        <w:t>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267"/>
        </w:numPr>
        <w:spacing w:lineRule="auto" w:line="276" w:before="0" w:after="240"/>
        <w:ind w:left="360" w:right="0" w:hanging="360"/>
        <w:rPr/>
      </w:pPr>
      <w:commentRangeStart w:id="73"/>
      <w:r>
        <w:rPr>
          <w:sz w:val="21"/>
          <w:szCs w:val="21"/>
        </w:rPr>
        <w:t>CLÁUSULA NONA - OBRIGAÇÕES DO CONTRATADO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XIV, XVI e XVII)</w:t>
      </w:r>
      <w:r>
        <w:rPr>
          <w:rStyle w:val="LinkdaInternet"/>
          <w:sz w:val="21"/>
          <w:szCs w:val="21"/>
        </w:rPr>
        <w:fldChar w:fldCharType="end"/>
      </w:r>
      <w:commentRangeEnd w:id="73"/>
      <w:r>
        <w:commentReference w:id="73"/>
      </w:r>
      <w:r>
        <w:rPr>
          <w:rStyle w:val="LinkdaInternet"/>
          <w:sz w:val="21"/>
          <w:szCs w:val="21"/>
        </w:rPr>
      </w:r>
    </w:p>
    <w:p>
      <w:pPr>
        <w:pStyle w:val="Nivel2"/>
        <w:numPr>
          <w:ilvl w:val="1"/>
          <w:numId w:val="268"/>
        </w:numPr>
        <w:ind w:left="0" w:firstLine="567"/>
        <w:rPr>
          <w:szCs w:val="21"/>
        </w:rPr>
      </w:pPr>
      <w:r>
        <w:rPr>
          <w:szCs w:val="21"/>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vel2Red"/>
        <w:numPr>
          <w:ilvl w:val="1"/>
          <w:numId w:val="269"/>
        </w:numPr>
        <w:ind w:left="0" w:firstLine="567"/>
        <w:rPr>
          <w:i w:val="false"/>
          <w:i w:val="false"/>
          <w:iCs w:val="false"/>
          <w:color w:val="000000"/>
        </w:rPr>
      </w:pPr>
      <w:r>
        <w:rPr>
          <w:i w:val="false"/>
          <w:iCs w:val="false"/>
          <w:color w:val="000000"/>
          <w:szCs w:val="21"/>
        </w:rPr>
        <w:t>Entregar o objeto acompanhado do manual do usuário, com uma versão em português, e da relação da rede de assistência técnica autorizada.</w:t>
      </w:r>
    </w:p>
    <w:p>
      <w:pPr>
        <w:pStyle w:val="Nivel2"/>
        <w:numPr>
          <w:ilvl w:val="1"/>
          <w:numId w:val="270"/>
        </w:numPr>
        <w:ind w:left="360" w:hanging="360"/>
        <w:rPr/>
      </w:pPr>
      <w:r>
        <w:rPr>
          <w:szCs w:val="21"/>
        </w:rPr>
        <w:t>Responsabiliz</w:t>
      </w:r>
      <w:r>
        <w:rPr>
          <w:color w:val="000000"/>
          <w:szCs w:val="21"/>
        </w:rPr>
        <w:t>ar-se pelos vícios e danos decorrentes do objeto, de acordo com o Código de Defesa do Consumidor (</w:t>
      </w:r>
      <w:hyperlink r:id="rId34">
        <w:r>
          <w:rPr>
            <w:rStyle w:val="LinkdaInternet"/>
            <w:color w:val="000000"/>
            <w:szCs w:val="21"/>
          </w:rPr>
          <w:t>Lei nº 8.078, de 1990</w:t>
        </w:r>
      </w:hyperlink>
      <w:r>
        <w:rPr>
          <w:color w:val="000000"/>
          <w:szCs w:val="21"/>
        </w:rPr>
        <w:t>).</w:t>
      </w:r>
    </w:p>
    <w:p>
      <w:pPr>
        <w:pStyle w:val="Nivel2"/>
        <w:numPr>
          <w:ilvl w:val="1"/>
          <w:numId w:val="271"/>
        </w:numPr>
        <w:ind w:left="0" w:firstLine="567"/>
        <w:rPr>
          <w:szCs w:val="21"/>
        </w:rPr>
      </w:pPr>
      <w:r>
        <w:rPr>
          <w:color w:val="000000" w:themeColor="text1"/>
          <w:szCs w:val="21"/>
        </w:rPr>
        <w:t>Comunicar ao contratante, no prazo máximo de 24 (vinte e quatro) horas que antecede a data da entrega, os motivos que impossibilitem o cumprimento do prazo previsto, com a devida comprovação.</w:t>
      </w:r>
    </w:p>
    <w:p>
      <w:pPr>
        <w:pStyle w:val="Nivel2"/>
        <w:numPr>
          <w:ilvl w:val="1"/>
          <w:numId w:val="272"/>
        </w:numPr>
        <w:ind w:left="0" w:firstLine="567"/>
        <w:rPr>
          <w:szCs w:val="21"/>
        </w:rPr>
      </w:pPr>
      <w:r>
        <w:rPr>
          <w:szCs w:val="21"/>
        </w:rPr>
        <w:t>Manter preposto aceito pela Administração no local do serviço para representá-lo na execução do contrato.</w:t>
      </w:r>
    </w:p>
    <w:p>
      <w:pPr>
        <w:pStyle w:val="Nivel2"/>
        <w:numPr>
          <w:ilvl w:val="1"/>
          <w:numId w:val="273"/>
        </w:numPr>
        <w:ind w:left="0" w:firstLine="567"/>
        <w:rPr>
          <w:szCs w:val="21"/>
        </w:rPr>
      </w:pPr>
      <w:r>
        <w:rPr>
          <w:szCs w:val="21"/>
        </w:rPr>
        <w:t>A indicação ou a manutenção do preposto da empresa poderá ser recusada pelo órgão ou entidade, desde que devidamente justificada, devendo a empresa designar outro para o exercício da atividade.</w:t>
      </w:r>
    </w:p>
    <w:p>
      <w:pPr>
        <w:pStyle w:val="Nivel2"/>
        <w:numPr>
          <w:ilvl w:val="1"/>
          <w:numId w:val="274"/>
        </w:numPr>
        <w:ind w:left="0" w:firstLine="567"/>
        <w:rPr/>
      </w:pPr>
      <w:r>
        <w:rPr>
          <w:color w:val="000000"/>
          <w:szCs w:val="21"/>
        </w:rPr>
        <w:t>Atender às determinações regulares emitidas pelo fiscal do contrato ou autoridade superior (</w:t>
      </w:r>
      <w:r>
        <w:fldChar w:fldCharType="begin"/>
      </w:r>
      <w:r>
        <w:rPr>
          <w:rStyle w:val="LinkdaInternet"/>
          <w:szCs w:val="21"/>
          <w:color w:val="000000"/>
        </w:rPr>
        <w:instrText> HYPERLINK "http://www.planalto.gov.br/ccivil_03/_ato2019-2022/2021/lei/L14133.htm" \l "art137"</w:instrText>
      </w:r>
      <w:r>
        <w:rPr>
          <w:rStyle w:val="LinkdaInternet"/>
          <w:szCs w:val="21"/>
          <w:color w:val="000000"/>
        </w:rPr>
        <w:fldChar w:fldCharType="separate"/>
      </w:r>
      <w:r>
        <w:rPr>
          <w:rStyle w:val="LinkdaInternet"/>
          <w:color w:val="000000"/>
          <w:szCs w:val="21"/>
        </w:rPr>
        <w:t>art. 137, II</w:t>
      </w:r>
      <w:r>
        <w:rPr>
          <w:rStyle w:val="LinkdaInternet"/>
          <w:szCs w:val="21"/>
          <w:color w:val="000000"/>
        </w:rPr>
        <w:fldChar w:fldCharType="end"/>
      </w:r>
      <w:r>
        <w:rPr>
          <w:color w:val="000000"/>
          <w:szCs w:val="21"/>
        </w:rPr>
        <w:t xml:space="preserve">) </w:t>
      </w:r>
      <w:r>
        <w:rPr>
          <w:color w:val="000000" w:themeColor="text1"/>
          <w:szCs w:val="21"/>
        </w:rPr>
        <w:t xml:space="preserve">e </w:t>
      </w:r>
      <w:r>
        <w:rPr>
          <w:color w:val="000000"/>
          <w:szCs w:val="21"/>
        </w:rPr>
        <w:t>prestar todo esclarecimento ou informação por eles solicitados</w:t>
      </w:r>
      <w:r>
        <w:rPr>
          <w:color w:val="000000" w:themeColor="text1"/>
          <w:szCs w:val="21"/>
        </w:rPr>
        <w:t>.</w:t>
      </w:r>
    </w:p>
    <w:p>
      <w:pPr>
        <w:pStyle w:val="Nivel2"/>
        <w:numPr>
          <w:ilvl w:val="1"/>
          <w:numId w:val="275"/>
        </w:numPr>
        <w:ind w:left="0" w:firstLine="567"/>
        <w:rPr/>
      </w:pPr>
      <w:r>
        <w:rPr>
          <w:color w:val="000000"/>
          <w:szCs w:val="21"/>
        </w:rPr>
        <w:t>Alocar os empregados necessários ao perfeito cumprimento das cláusulas deste contrato, com habilitaçã</w:t>
      </w:r>
      <w:r>
        <w:rPr>
          <w:szCs w:val="21"/>
        </w:rPr>
        <w:t>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276"/>
        </w:numPr>
        <w:ind w:left="0" w:firstLine="567"/>
        <w:rPr/>
      </w:pPr>
      <w:r>
        <w:rPr>
          <w:szCs w:val="21"/>
        </w:rPr>
        <w:t>Reparar, corrigir, remover, reconstruir ou substituir, às suas expensas, no total ou em parte, no prazo fixado pelo fiscal do contrato, os serviços nos quais se verificarem vícios, defeitos ou incorreções resulta</w:t>
      </w:r>
      <w:r>
        <w:rPr>
          <w:color w:val="000000"/>
          <w:szCs w:val="21"/>
        </w:rPr>
        <w:t>ntes da execução ou dos materiais empregados.</w:t>
      </w:r>
    </w:p>
    <w:p>
      <w:pPr>
        <w:pStyle w:val="Nivel2"/>
        <w:numPr>
          <w:ilvl w:val="1"/>
          <w:numId w:val="277"/>
        </w:numPr>
        <w:ind w:left="0" w:firstLine="567"/>
        <w:rPr/>
      </w:pPr>
      <w:r>
        <w:rPr>
          <w:color w:val="000000"/>
          <w:szCs w:val="21"/>
        </w:rPr>
        <w:t xml:space="preserve">Responsabilizar-se pelos vícios e danos decorrentes da execução do objeto, de acordo com o </w:t>
      </w:r>
      <w:hyperlink r:id="rId35">
        <w:r>
          <w:rPr>
            <w:rStyle w:val="LinkdaInternet"/>
            <w:color w:val="000000"/>
            <w:szCs w:val="21"/>
          </w:rPr>
          <w:t>Código de Defesa do Consumidor (Lei nº 8.078, de 1990</w:t>
        </w:r>
      </w:hyperlink>
      <w:r>
        <w:rPr>
          <w:color w:val="000000"/>
          <w:szCs w:val="21"/>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w:t>
      </w:r>
      <w:r>
        <w:rPr>
          <w:szCs w:val="21"/>
        </w:rPr>
        <w:t>orrespondente aos danos sofridos.</w:t>
      </w:r>
    </w:p>
    <w:p>
      <w:pPr>
        <w:pStyle w:val="Nivel2"/>
        <w:numPr>
          <w:ilvl w:val="1"/>
          <w:numId w:val="278"/>
        </w:numPr>
        <w:ind w:left="0" w:firstLine="567"/>
        <w:rPr/>
      </w:pPr>
      <w:r>
        <w:rPr>
          <w:szCs w:val="21"/>
        </w:rPr>
        <w:t xml:space="preserve">Não contratar, </w:t>
      </w:r>
      <w:r>
        <w:rPr>
          <w:color w:val="000000"/>
          <w:szCs w:val="21"/>
        </w:rPr>
        <w:t xml:space="preserve">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Cs w:val="21"/>
          <w:color w:val="000000"/>
        </w:rPr>
        <w:instrText> HYPERLINK "http://www.planalto.gov.br/ccivil_03/_ato2019-2022/2021/lei/L14133.htm" \l "art48"</w:instrText>
      </w:r>
      <w:r>
        <w:rPr>
          <w:rStyle w:val="LinkdaInternet"/>
          <w:szCs w:val="21"/>
          <w:color w:val="000000"/>
        </w:rPr>
        <w:fldChar w:fldCharType="separate"/>
      </w:r>
      <w:r>
        <w:rPr>
          <w:rStyle w:val="LinkdaInternet"/>
          <w:color w:val="000000"/>
          <w:szCs w:val="21"/>
        </w:rPr>
        <w:t>artigo 48, parágrafo único, da Lei nº 14.133, de 2021</w:t>
      </w:r>
      <w:r>
        <w:rPr>
          <w:rStyle w:val="LinkdaInternet"/>
          <w:szCs w:val="21"/>
          <w:color w:val="000000"/>
        </w:rPr>
        <w:fldChar w:fldCharType="end"/>
      </w:r>
      <w:r>
        <w:rPr>
          <w:rStyle w:val="LinkdaInternet"/>
          <w:color w:val="000000"/>
          <w:szCs w:val="21"/>
        </w:rPr>
        <w:t>.</w:t>
      </w:r>
    </w:p>
    <w:p>
      <w:pPr>
        <w:pStyle w:val="Nivel2"/>
        <w:numPr>
          <w:ilvl w:val="1"/>
          <w:numId w:val="279"/>
        </w:numPr>
        <w:spacing w:lineRule="auto" w:line="312" w:before="120" w:after="288"/>
        <w:ind w:left="0" w:firstLine="567"/>
        <w:rPr>
          <w:color w:val="000000"/>
        </w:rPr>
      </w:pPr>
      <w:r>
        <w:rPr>
          <w:color w:val="000000" w:themeColor="text1"/>
          <w:szCs w:val="21"/>
        </w:rPr>
        <w:t>Q</w:t>
      </w:r>
      <w:commentRangeStart w:id="74"/>
      <w:r>
        <w:rPr>
          <w:color w:val="000000" w:themeColor="text1"/>
          <w:szCs w:val="21"/>
        </w:rPr>
        <w:t xml:space="preserve">uando não for possível a verificação da regularidade no Sistema de Cadastro </w:t>
      </w:r>
      <w:r>
        <w:rPr>
          <w:color w:val="000000"/>
          <w:szCs w:val="21"/>
        </w:rPr>
        <w:t xml:space="preserve">de Fornecedores – SICAF, o contratado deverá entregar ao setor responsável pela fiscalização do contrato, até o dia trinta do mês seguinte ao da prestação dos serviços, os seguintes documentos:  </w:t>
      </w:r>
      <w:commentRangeEnd w:id="74"/>
      <w:r>
        <w:commentReference w:id="74"/>
      </w:r>
      <w:r>
        <w:rPr>
          <w:color w:val="000000"/>
          <w:szCs w:val="21"/>
        </w:rPr>
      </w:r>
    </w:p>
    <w:p>
      <w:pPr>
        <w:pStyle w:val="Nivel01"/>
        <w:keepNext w:val="true"/>
        <w:keepLines/>
        <w:widowControl/>
        <w:numPr>
          <w:ilvl w:val="0"/>
          <w:numId w:val="280"/>
        </w:numPr>
        <w:suppressAutoHyphens w:val="true"/>
        <w:overflowPunct w:val="false"/>
        <w:bidi w:val="0"/>
        <w:spacing w:lineRule="auto" w:line="240"/>
        <w:ind w:left="2988" w:right="0" w:hanging="360"/>
        <w:jc w:val="both"/>
        <w:rPr>
          <w:rFonts w:ascii="Arial" w:hAnsi="Arial" w:cs="Arial"/>
          <w:b w:val="false"/>
          <w:b w:val="false"/>
          <w:bCs/>
          <w:color w:val="000000"/>
          <w:sz w:val="21"/>
          <w:szCs w:val="21"/>
          <w:lang w:eastAsia="pt-BR"/>
        </w:rPr>
      </w:pPr>
      <w:r>
        <w:rPr>
          <w:rFonts w:cs="Arial"/>
          <w:b w:val="false"/>
          <w:bCs/>
          <w:color w:val="000000"/>
          <w:sz w:val="21"/>
          <w:szCs w:val="21"/>
          <w:lang w:eastAsia="pt-BR"/>
        </w:rPr>
        <w:t>Prova de regularidade relativa à Seguridade Social;</w:t>
      </w:r>
    </w:p>
    <w:p>
      <w:pPr>
        <w:pStyle w:val="Nivel01"/>
        <w:keepNext w:val="true"/>
        <w:keepLines/>
        <w:widowControl/>
        <w:numPr>
          <w:ilvl w:val="0"/>
          <w:numId w:val="7"/>
        </w:numPr>
        <w:suppressAutoHyphens w:val="true"/>
        <w:overflowPunct w:val="false"/>
        <w:bidi w:val="0"/>
        <w:spacing w:lineRule="auto" w:line="240"/>
        <w:ind w:left="2988" w:right="0" w:hanging="360"/>
        <w:jc w:val="both"/>
        <w:rPr>
          <w:rFonts w:ascii="Arial" w:hAnsi="Arial" w:cs="Arial"/>
          <w:b w:val="false"/>
          <w:b w:val="false"/>
          <w:bCs/>
          <w:color w:val="000000"/>
          <w:sz w:val="21"/>
          <w:szCs w:val="21"/>
          <w:lang w:eastAsia="pt-BR"/>
        </w:rPr>
      </w:pPr>
      <w:r>
        <w:rPr>
          <w:rFonts w:cs="Arial"/>
          <w:b w:val="false"/>
          <w:bCs/>
          <w:color w:val="000000"/>
          <w:sz w:val="21"/>
          <w:szCs w:val="21"/>
          <w:lang w:eastAsia="pt-BR"/>
        </w:rPr>
        <w:t xml:space="preserve">Certidão conjunta relativa aos tributos federais e à Dívida Ativa da União; </w:t>
      </w:r>
    </w:p>
    <w:p>
      <w:pPr>
        <w:pStyle w:val="Nivel01"/>
        <w:keepNext w:val="true"/>
        <w:keepLines/>
        <w:widowControl/>
        <w:numPr>
          <w:ilvl w:val="0"/>
          <w:numId w:val="7"/>
        </w:numPr>
        <w:suppressAutoHyphens w:val="true"/>
        <w:overflowPunct w:val="false"/>
        <w:bidi w:val="0"/>
        <w:spacing w:lineRule="auto" w:line="240"/>
        <w:ind w:left="2988" w:right="0" w:hanging="360"/>
        <w:jc w:val="both"/>
        <w:rPr>
          <w:rFonts w:ascii="Arial" w:hAnsi="Arial" w:cs="Arial"/>
          <w:b w:val="false"/>
          <w:b w:val="false"/>
          <w:bCs/>
          <w:color w:val="auto"/>
          <w:sz w:val="21"/>
          <w:szCs w:val="21"/>
          <w:lang w:eastAsia="pt-BR"/>
        </w:rPr>
      </w:pPr>
      <w:r>
        <w:rPr>
          <w:rFonts w:cs="Arial"/>
          <w:b w:val="false"/>
          <w:bCs/>
          <w:color w:val="auto"/>
          <w:sz w:val="21"/>
          <w:szCs w:val="21"/>
          <w:lang w:eastAsia="pt-BR"/>
        </w:rPr>
        <w:t>Certidões que comprovem a regularidade perante a Fazenda Estadual ou Distrital do domicílio ou sede do contratado;</w:t>
      </w:r>
    </w:p>
    <w:p>
      <w:pPr>
        <w:pStyle w:val="Nivel01"/>
        <w:keepNext w:val="true"/>
        <w:keepLines/>
        <w:widowControl/>
        <w:numPr>
          <w:ilvl w:val="0"/>
          <w:numId w:val="7"/>
        </w:numPr>
        <w:suppressAutoHyphens w:val="true"/>
        <w:overflowPunct w:val="false"/>
        <w:bidi w:val="0"/>
        <w:spacing w:lineRule="auto" w:line="240"/>
        <w:ind w:left="2988" w:right="0" w:hanging="360"/>
        <w:jc w:val="both"/>
        <w:rPr>
          <w:rFonts w:ascii="Arial" w:hAnsi="Arial" w:cs="Arial"/>
          <w:b w:val="false"/>
          <w:b w:val="false"/>
          <w:bCs/>
          <w:color w:val="auto"/>
          <w:sz w:val="21"/>
          <w:szCs w:val="21"/>
          <w:lang w:eastAsia="pt-BR"/>
        </w:rPr>
      </w:pPr>
      <w:r>
        <w:rPr>
          <w:rFonts w:cs="Arial"/>
          <w:b w:val="false"/>
          <w:bCs/>
          <w:color w:val="auto"/>
          <w:sz w:val="21"/>
          <w:szCs w:val="21"/>
          <w:lang w:eastAsia="pt-BR"/>
        </w:rPr>
        <w:t xml:space="preserve">Certidão de Regularidade do FGTS – CRF; e </w:t>
      </w:r>
    </w:p>
    <w:p>
      <w:pPr>
        <w:pStyle w:val="Nivel01"/>
        <w:keepNext w:val="true"/>
        <w:keepLines/>
        <w:widowControl/>
        <w:numPr>
          <w:ilvl w:val="0"/>
          <w:numId w:val="7"/>
        </w:numPr>
        <w:suppressAutoHyphens w:val="true"/>
        <w:overflowPunct w:val="false"/>
        <w:bidi w:val="0"/>
        <w:spacing w:lineRule="auto" w:line="240"/>
        <w:ind w:left="2988" w:right="0" w:hanging="360"/>
        <w:jc w:val="both"/>
        <w:rPr>
          <w:rFonts w:ascii="Arial" w:hAnsi="Arial" w:cs="Arial"/>
          <w:b w:val="false"/>
          <w:b w:val="false"/>
          <w:bCs/>
          <w:color w:val="auto"/>
          <w:sz w:val="21"/>
          <w:szCs w:val="21"/>
          <w:lang w:eastAsia="pt-BR"/>
        </w:rPr>
      </w:pPr>
      <w:r>
        <w:rPr>
          <w:rFonts w:cs="Arial"/>
          <w:b w:val="false"/>
          <w:bCs/>
          <w:color w:val="auto"/>
          <w:sz w:val="21"/>
          <w:szCs w:val="21"/>
          <w:lang w:eastAsia="pt-BR"/>
        </w:rPr>
        <w:t>Certidão Negativa de Débitos Trabalhistas – CNDT;</w:t>
      </w:r>
    </w:p>
    <w:p>
      <w:pPr>
        <w:pStyle w:val="Nivel01"/>
        <w:keepNext w:val="true"/>
        <w:keepLines/>
        <w:widowControl/>
        <w:numPr>
          <w:ilvl w:val="0"/>
          <w:numId w:val="7"/>
        </w:numPr>
        <w:suppressAutoHyphens w:val="true"/>
        <w:overflowPunct w:val="false"/>
        <w:bidi w:val="0"/>
        <w:spacing w:lineRule="auto" w:line="240"/>
        <w:ind w:left="2988" w:right="0" w:hanging="360"/>
        <w:jc w:val="both"/>
        <w:rPr>
          <w:rFonts w:ascii="Arial" w:hAnsi="Arial" w:cs="Arial"/>
          <w:b w:val="false"/>
          <w:b w:val="false"/>
          <w:bCs/>
          <w:color w:val="auto"/>
          <w:sz w:val="21"/>
          <w:szCs w:val="21"/>
          <w:lang w:eastAsia="pt-BR"/>
        </w:rPr>
      </w:pPr>
      <w:r>
        <w:rPr>
          <w:rFonts w:cs="Arial"/>
          <w:b w:val="false"/>
          <w:bCs/>
          <w:color w:val="auto"/>
          <w:sz w:val="21"/>
          <w:szCs w:val="21"/>
          <w:lang w:eastAsia="pt-BR"/>
        </w:rPr>
        <w:t xml:space="preserve">Certidão que comprove Regularidade de Tributos Municipais junto ao Município de São José dos Pinhais, em plena </w:t>
      </w:r>
      <w:commentRangeStart w:id="75"/>
      <w:r>
        <w:rPr>
          <w:rFonts w:cs="Arial"/>
          <w:b w:val="false"/>
          <w:bCs/>
          <w:color w:val="auto"/>
          <w:sz w:val="21"/>
          <w:szCs w:val="21"/>
          <w:lang w:eastAsia="pt-BR"/>
        </w:rPr>
        <w:t>validade</w:t>
      </w:r>
      <w:r>
        <w:rPr>
          <w:rFonts w:cs="Arial"/>
          <w:b w:val="false"/>
          <w:bCs/>
          <w:color w:val="auto"/>
          <w:sz w:val="21"/>
          <w:szCs w:val="21"/>
          <w:lang w:eastAsia="pt-BR"/>
        </w:rPr>
      </w:r>
      <w:commentRangeEnd w:id="75"/>
      <w:r>
        <w:commentReference w:id="75"/>
      </w:r>
      <w:r>
        <w:rPr>
          <w:rFonts w:cs="Arial"/>
          <w:b w:val="false"/>
          <w:bCs/>
          <w:color w:val="auto"/>
          <w:sz w:val="21"/>
          <w:szCs w:val="21"/>
          <w:lang w:eastAsia="pt-BR"/>
        </w:rPr>
        <w:t>. (Art. 242 da Lei Municipal Complementar nº 01/2003).</w:t>
      </w:r>
    </w:p>
    <w:p>
      <w:pPr>
        <w:pStyle w:val="Normal"/>
        <w:ind w:left="720" w:hanging="0"/>
        <w:rPr>
          <w:iCs/>
        </w:rPr>
      </w:pPr>
      <w:r>
        <w:rPr>
          <w:iCs/>
        </w:rPr>
      </w:r>
    </w:p>
    <w:p>
      <w:pPr>
        <w:pStyle w:val="Nivel2"/>
        <w:numPr>
          <w:ilvl w:val="1"/>
          <w:numId w:val="281"/>
        </w:numPr>
        <w:ind w:left="0" w:firstLine="567"/>
        <w:rPr>
          <w:szCs w:val="21"/>
        </w:rPr>
      </w:pPr>
      <w:r>
        <w:rPr>
          <w:szCs w:val="21"/>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pPr>
        <w:pStyle w:val="Nivel2"/>
        <w:numPr>
          <w:ilvl w:val="1"/>
          <w:numId w:val="282"/>
        </w:numPr>
        <w:ind w:left="0" w:firstLine="567"/>
        <w:rPr>
          <w:szCs w:val="21"/>
        </w:rPr>
      </w:pPr>
      <w:r>
        <w:rPr>
          <w:szCs w:val="21"/>
        </w:rPr>
        <w:t>Comunicar ao Fiscal do contrato, no prazo de 24 (vinte e quatro) horas, qualquer ocorrência anormal ou acidente que se verifique no local dos serviços.</w:t>
      </w:r>
    </w:p>
    <w:p>
      <w:pPr>
        <w:pStyle w:val="Nivel2"/>
        <w:numPr>
          <w:ilvl w:val="1"/>
          <w:numId w:val="283"/>
        </w:numPr>
        <w:ind w:left="0" w:firstLine="567"/>
        <w:rPr>
          <w:szCs w:val="21"/>
        </w:rPr>
      </w:pPr>
      <w:r>
        <w:rPr>
          <w:szCs w:val="21"/>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284"/>
        </w:numPr>
        <w:ind w:left="0" w:firstLine="567"/>
        <w:rPr>
          <w:szCs w:val="21"/>
        </w:rPr>
      </w:pPr>
      <w:r>
        <w:rPr>
          <w:szCs w:val="21"/>
        </w:rPr>
        <w:t>Paralisar, por determinação do Contratante, qualquer atividade que não esteja sendo executada de acordo com a boa técnica ou que ponha em risco a segurança de pessoas ou bens de terceiros.</w:t>
      </w:r>
    </w:p>
    <w:p>
      <w:pPr>
        <w:pStyle w:val="Nivel2"/>
        <w:numPr>
          <w:ilvl w:val="1"/>
          <w:numId w:val="285"/>
        </w:numPr>
        <w:ind w:left="0" w:firstLine="567"/>
        <w:rPr>
          <w:szCs w:val="21"/>
        </w:rPr>
      </w:pPr>
      <w:r>
        <w:rPr>
          <w:szCs w:val="21"/>
        </w:rPr>
        <w:t>Promover a guarda, manutenção e vigilância de materiais, ferramentas, e tudo o que for necessário à execução do objeto, durante a vigência do contrato.</w:t>
      </w:r>
    </w:p>
    <w:p>
      <w:pPr>
        <w:pStyle w:val="Nivel2"/>
        <w:numPr>
          <w:ilvl w:val="1"/>
          <w:numId w:val="286"/>
        </w:numPr>
        <w:ind w:left="0" w:firstLine="567"/>
        <w:rPr>
          <w:szCs w:val="21"/>
        </w:rPr>
      </w:pPr>
      <w:r>
        <w:rPr>
          <w:szCs w:val="21"/>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287"/>
        </w:numPr>
        <w:ind w:left="0" w:firstLine="567"/>
        <w:rPr>
          <w:szCs w:val="21"/>
        </w:rPr>
      </w:pPr>
      <w:r>
        <w:rPr>
          <w:szCs w:val="21"/>
        </w:rPr>
        <w:t>Submeter previamente, por escrito, ao Contratante, para análise e aprovação, quaisquer mudanças nos métodos executivos que fujam às especificações do memorial descritivo ou instrumento congênere.</w:t>
      </w:r>
    </w:p>
    <w:p>
      <w:pPr>
        <w:pStyle w:val="Nivel2"/>
        <w:numPr>
          <w:ilvl w:val="1"/>
          <w:numId w:val="288"/>
        </w:numPr>
        <w:ind w:left="0" w:firstLine="567"/>
        <w:rPr>
          <w:szCs w:val="21"/>
        </w:rPr>
      </w:pPr>
      <w:r>
        <w:rPr>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289"/>
        </w:numPr>
        <w:ind w:left="0" w:firstLine="567"/>
        <w:rPr>
          <w:szCs w:val="21"/>
        </w:rPr>
      </w:pPr>
      <w:r>
        <w:rPr>
          <w:szCs w:val="21"/>
        </w:rPr>
        <w:t>Manter durante toda a vigência do contrato, em compatibilidade com as obrigações assumidas, todas as condições exigidas para habilitação na licitação.</w:t>
      </w:r>
    </w:p>
    <w:p>
      <w:pPr>
        <w:pStyle w:val="Nivel2"/>
        <w:numPr>
          <w:ilvl w:val="1"/>
          <w:numId w:val="290"/>
        </w:numPr>
        <w:ind w:left="0" w:firstLine="567"/>
        <w:rPr/>
      </w:pPr>
      <w:r>
        <w:rPr>
          <w:color w:val="000000"/>
          <w:szCs w:val="21"/>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Cs w:val="21"/>
          <w:color w:val="000000"/>
        </w:rPr>
        <w:instrText> HYPERLINK "http://www.planalto.gov.br/ccivil_03/_ato2019-2022/2021/lei/L14133.htm" \l "art116"</w:instrText>
      </w:r>
      <w:r>
        <w:rPr>
          <w:rStyle w:val="LinkdaInternet"/>
          <w:szCs w:val="21"/>
          <w:color w:val="000000"/>
        </w:rPr>
        <w:fldChar w:fldCharType="separate"/>
      </w:r>
      <w:r>
        <w:rPr>
          <w:rStyle w:val="LinkdaInternet"/>
          <w:color w:val="000000"/>
          <w:szCs w:val="21"/>
        </w:rPr>
        <w:t>art. 116</w:t>
      </w:r>
      <w:r>
        <w:rPr>
          <w:rStyle w:val="LinkdaInternet"/>
          <w:szCs w:val="21"/>
          <w:color w:val="000000"/>
        </w:rPr>
        <w:fldChar w:fldCharType="end"/>
      </w:r>
      <w:r>
        <w:rPr>
          <w:color w:val="000000"/>
          <w:szCs w:val="21"/>
        </w:rPr>
        <w:t>).</w:t>
      </w:r>
    </w:p>
    <w:p>
      <w:pPr>
        <w:pStyle w:val="Nivel2"/>
        <w:numPr>
          <w:ilvl w:val="1"/>
          <w:numId w:val="291"/>
        </w:numPr>
        <w:ind w:left="0" w:firstLine="567"/>
        <w:rPr/>
      </w:pPr>
      <w:r>
        <w:rPr>
          <w:color w:val="000000"/>
          <w:szCs w:val="21"/>
        </w:rPr>
        <w:t>Comprovar a reserva de cargos a que se refere a cláusula acima, no prazo fixado pelo fiscal do contrato, com a indicação dos empregados que preencheram as referidas vagas (</w:t>
      </w:r>
      <w:r>
        <w:fldChar w:fldCharType="begin"/>
      </w:r>
      <w:r>
        <w:rPr>
          <w:rStyle w:val="LinkdaInternet"/>
          <w:szCs w:val="21"/>
          <w:color w:val="000000"/>
        </w:rPr>
        <w:instrText> HYPERLINK "http://www.planalto.gov.br/ccivil_03/_ato2019-2022/2021/lei/L14133.htm" \l "art116"</w:instrText>
      </w:r>
      <w:r>
        <w:rPr>
          <w:rStyle w:val="LinkdaInternet"/>
          <w:szCs w:val="21"/>
          <w:color w:val="000000"/>
        </w:rPr>
        <w:fldChar w:fldCharType="separate"/>
      </w:r>
      <w:r>
        <w:rPr>
          <w:rStyle w:val="LinkdaInternet"/>
          <w:color w:val="000000"/>
          <w:szCs w:val="21"/>
        </w:rPr>
        <w:t>art. 116, parágrafo único</w:t>
      </w:r>
      <w:r>
        <w:rPr>
          <w:rStyle w:val="LinkdaInternet"/>
          <w:szCs w:val="21"/>
          <w:color w:val="000000"/>
        </w:rPr>
        <w:fldChar w:fldCharType="end"/>
      </w:r>
      <w:r>
        <w:rPr>
          <w:color w:val="000000"/>
          <w:szCs w:val="21"/>
        </w:rPr>
        <w:t>).</w:t>
      </w:r>
    </w:p>
    <w:p>
      <w:pPr>
        <w:pStyle w:val="Nivel2"/>
        <w:numPr>
          <w:ilvl w:val="1"/>
          <w:numId w:val="292"/>
        </w:numPr>
        <w:ind w:left="0" w:firstLine="567"/>
        <w:rPr>
          <w:szCs w:val="21"/>
        </w:rPr>
      </w:pPr>
      <w:r>
        <w:rPr>
          <w:szCs w:val="21"/>
        </w:rPr>
        <w:t>Guardar sigilo sobre todas as informações obtidas em decorrência do cumprimento do contrato.</w:t>
      </w:r>
    </w:p>
    <w:p>
      <w:pPr>
        <w:pStyle w:val="Nivel2"/>
        <w:numPr>
          <w:ilvl w:val="1"/>
          <w:numId w:val="293"/>
        </w:numPr>
        <w:ind w:left="0" w:firstLine="567"/>
        <w:rPr/>
      </w:pPr>
      <w:r>
        <w:rPr>
          <w:szCs w:val="21"/>
        </w:rPr>
        <w:t>Arcar com o ônus decorrente de eventual equívoco no dimensionamento dos quantitativos de s</w:t>
      </w:r>
      <w:r>
        <w:rPr>
          <w:color w:val="000000"/>
          <w:szCs w:val="21"/>
        </w:rPr>
        <w:t xml:space="preserve">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Cs w:val="21"/>
          <w:color w:val="000000"/>
        </w:rPr>
        <w:instrText> HYPERLINK "http://www.planalto.gov.br/ccivil_03/_ato2019-2022/2021/lei/L14133.htm" \l "art124"</w:instrText>
      </w:r>
      <w:r>
        <w:rPr>
          <w:rStyle w:val="LinkdaInternet"/>
          <w:szCs w:val="21"/>
          <w:color w:val="000000"/>
        </w:rPr>
        <w:fldChar w:fldCharType="separate"/>
      </w:r>
      <w:r>
        <w:rPr>
          <w:rStyle w:val="LinkdaInternet"/>
          <w:color w:val="000000"/>
          <w:szCs w:val="21"/>
        </w:rPr>
        <w:t>art. 124, II, d, da Lei nº 14.133, de 2021</w:t>
      </w:r>
      <w:r>
        <w:rPr>
          <w:rStyle w:val="LinkdaInternet"/>
          <w:szCs w:val="21"/>
          <w:color w:val="000000"/>
        </w:rPr>
        <w:fldChar w:fldCharType="end"/>
      </w:r>
      <w:r>
        <w:rPr>
          <w:rStyle w:val="LinkdaInternet"/>
          <w:color w:val="000000"/>
          <w:szCs w:val="21"/>
        </w:rPr>
        <w:t>.</w:t>
      </w:r>
    </w:p>
    <w:p>
      <w:pPr>
        <w:pStyle w:val="Nivel2"/>
        <w:numPr>
          <w:ilvl w:val="1"/>
          <w:numId w:val="294"/>
        </w:numPr>
        <w:ind w:left="0" w:firstLine="567"/>
        <w:rPr>
          <w:szCs w:val="21"/>
        </w:rPr>
      </w:pPr>
      <w:r>
        <w:rPr>
          <w:color w:val="000000"/>
          <w:szCs w:val="21"/>
        </w:rPr>
        <w:t>Cumprir, al</w:t>
      </w:r>
      <w:r>
        <w:rPr>
          <w:szCs w:val="21"/>
        </w:rPr>
        <w:t>ém dos postulados legais vigentes de âmbito federal, estadual ou municipal, as normas de segurança do Contratante.</w:t>
      </w:r>
    </w:p>
    <w:p>
      <w:pPr>
        <w:pStyle w:val="Nvel2Red"/>
        <w:numPr>
          <w:ilvl w:val="1"/>
          <w:numId w:val="295"/>
        </w:numPr>
        <w:ind w:left="0" w:firstLine="567"/>
        <w:rPr>
          <w:i w:val="false"/>
          <w:i w:val="false"/>
          <w:iCs w:val="false"/>
          <w:color w:val="000000"/>
        </w:rPr>
      </w:pPr>
      <w:r>
        <w:rPr>
          <w:i w:val="false"/>
          <w:iCs w:val="false"/>
          <w:color w:val="000000"/>
          <w:szCs w:val="2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pPr>
        <w:pStyle w:val="Nvel2Red"/>
        <w:numPr>
          <w:ilvl w:val="1"/>
          <w:numId w:val="296"/>
        </w:numPr>
        <w:ind w:left="0" w:firstLine="567"/>
        <w:rPr>
          <w:i w:val="false"/>
          <w:i w:val="false"/>
          <w:iCs w:val="false"/>
          <w:color w:val="000000"/>
        </w:rPr>
      </w:pPr>
      <w:r>
        <w:rPr>
          <w:i w:val="false"/>
          <w:iCs w:val="false"/>
          <w:color w:val="000000"/>
          <w:szCs w:val="21"/>
        </w:rPr>
        <w:t>Orientar e treinar seus empregados sobre os deveres previstos na Lei nº 13.709, de 14 de agosto de 2018, adotando medidas eficazes para proteção de dados pessoais a que tenha acesso por força da execução deste contrato.</w:t>
      </w:r>
    </w:p>
    <w:p>
      <w:pPr>
        <w:pStyle w:val="Nvel2Red"/>
        <w:numPr>
          <w:ilvl w:val="1"/>
          <w:numId w:val="297"/>
        </w:numPr>
        <w:ind w:left="0" w:firstLine="567"/>
        <w:rPr>
          <w:i w:val="false"/>
          <w:i w:val="false"/>
          <w:iCs w:val="false"/>
          <w:color w:val="000000"/>
        </w:rPr>
      </w:pPr>
      <w:r>
        <w:rPr>
          <w:i w:val="false"/>
          <w:iCs w:val="false"/>
          <w:color w:val="000000"/>
          <w:szCs w:val="21"/>
        </w:rPr>
        <w:t>Conduzir os trabalhos com estrita observância às normas da legislação pertinente, cumprindo as determinações dos Poderes Públicos, mantendo sempre limpo o local d</w:t>
      </w:r>
      <w:r>
        <w:rPr>
          <w:i w:val="false"/>
          <w:iCs w:val="false"/>
          <w:color w:val="000000"/>
          <w:szCs w:val="21"/>
          <w:lang w:eastAsia="en-US"/>
        </w:rPr>
        <w:t>e execução do objeto</w:t>
      </w:r>
      <w:r>
        <w:rPr>
          <w:i w:val="false"/>
          <w:iCs w:val="false"/>
          <w:color w:val="000000"/>
          <w:szCs w:val="21"/>
        </w:rPr>
        <w:t xml:space="preserve"> e nas melhores condições de segurança, higiene e disciplina.</w:t>
      </w:r>
    </w:p>
    <w:p>
      <w:pPr>
        <w:pStyle w:val="Nvel2Red"/>
        <w:numPr>
          <w:ilvl w:val="1"/>
          <w:numId w:val="298"/>
        </w:numPr>
        <w:ind w:left="0" w:firstLine="567"/>
        <w:rPr>
          <w:i w:val="false"/>
          <w:i w:val="false"/>
          <w:iCs w:val="false"/>
          <w:color w:val="000000"/>
        </w:rPr>
      </w:pPr>
      <w:r>
        <w:rPr>
          <w:i w:val="false"/>
          <w:iCs w:val="false"/>
          <w:color w:val="000000"/>
          <w:szCs w:val="21"/>
        </w:rPr>
        <w:t>Submeter previamente, por escrito, ao contratante, para análise e aprovação, quaisquer mudanças nos métodos executivos que fujam às especificações do memorial descritivo ou instrumento congênere.</w:t>
      </w:r>
    </w:p>
    <w:p>
      <w:pPr>
        <w:pStyle w:val="Nvel2Red"/>
        <w:numPr>
          <w:ilvl w:val="1"/>
          <w:numId w:val="299"/>
        </w:numPr>
        <w:ind w:left="0" w:firstLine="567"/>
        <w:rPr>
          <w:i w:val="false"/>
          <w:i w:val="false"/>
          <w:iCs w:val="false"/>
          <w:color w:val="000000"/>
        </w:rPr>
      </w:pPr>
      <w:r>
        <w:rPr>
          <w:i w:val="false"/>
          <w:iCs w:val="false"/>
          <w:color w:val="000000"/>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01"/>
        <w:numPr>
          <w:ilvl w:val="0"/>
          <w:numId w:val="300"/>
        </w:numPr>
        <w:ind w:left="0" w:right="0" w:hanging="0"/>
        <w:rPr>
          <w:i w:val="false"/>
          <w:i w:val="false"/>
          <w:iCs w:val="false"/>
          <w:color w:val="000000"/>
        </w:rPr>
      </w:pPr>
      <w:commentRangeStart w:id="76"/>
      <w:r>
        <w:rPr>
          <w:i w:val="false"/>
          <w:iCs w:val="false"/>
          <w:color w:val="000000"/>
          <w:sz w:val="21"/>
          <w:szCs w:val="21"/>
        </w:rPr>
        <w:t>CLÁUSULA DÉCIMA- OBRIGAÇÕES PERTINENTES À LGPD</w:t>
      </w:r>
      <w:commentRangeEnd w:id="76"/>
      <w:r>
        <w:commentReference w:id="76"/>
      </w:r>
      <w:r>
        <w:rPr>
          <w:i w:val="false"/>
          <w:iCs w:val="false"/>
          <w:color w:val="000000"/>
          <w:sz w:val="21"/>
          <w:szCs w:val="21"/>
        </w:rPr>
      </w:r>
    </w:p>
    <w:p>
      <w:pPr>
        <w:pStyle w:val="Nvel2Red"/>
        <w:numPr>
          <w:ilvl w:val="1"/>
          <w:numId w:val="301"/>
        </w:numPr>
        <w:ind w:left="0" w:firstLine="567"/>
        <w:rPr/>
      </w:pPr>
      <w:r>
        <w:rPr>
          <w:i w:val="false"/>
          <w:iCs w:val="false"/>
          <w:color w:val="000000"/>
          <w:szCs w:val="21"/>
        </w:rPr>
        <w:t xml:space="preserve">As partes deverão cumprir a </w:t>
      </w:r>
      <w:hyperlink r:id="rId36">
        <w:r>
          <w:rPr>
            <w:rStyle w:val="LinkdaInternet"/>
            <w:i w:val="false"/>
            <w:iCs w:val="false"/>
            <w:color w:val="000000"/>
            <w:szCs w:val="21"/>
          </w:rPr>
          <w:t>Lei nº 13.709, de 14 de agosto de 2018 (LGPD)</w:t>
        </w:r>
      </w:hyperlink>
      <w:r>
        <w:rPr>
          <w:i w:val="false"/>
          <w:iCs w:val="false"/>
          <w:color w:val="000000"/>
          <w:szCs w:val="21"/>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302"/>
        </w:numPr>
        <w:ind w:left="0" w:firstLine="567"/>
        <w:rPr/>
      </w:pPr>
      <w:r>
        <w:rPr>
          <w:i w:val="false"/>
          <w:iCs w:val="false"/>
          <w:color w:val="000000"/>
          <w:szCs w:val="21"/>
        </w:rPr>
        <w:t xml:space="preserve">Os dados obtidos somente poderão ser utilizados para as finalidades que justificaram seu acesso e de acordo com a boa-fé e com os princípios do </w:t>
      </w:r>
      <w:r>
        <w:fldChar w:fldCharType="begin"/>
      </w:r>
      <w:r>
        <w:rPr>
          <w:rStyle w:val="LinkdaInternet"/>
          <w:i w:val="false"/>
          <w:szCs w:val="21"/>
          <w:iCs w:val="false"/>
          <w:color w:val="000000"/>
        </w:rPr>
        <w:instrText> HYPERLINK "https://www.planalto.gov.br/ccivil_03/_ato2015-2018/2018/lei/l13709.htm" \l "art6"</w:instrText>
      </w:r>
      <w:r>
        <w:rPr>
          <w:rStyle w:val="LinkdaInternet"/>
          <w:i w:val="false"/>
          <w:szCs w:val="21"/>
          <w:iCs w:val="false"/>
          <w:color w:val="000000"/>
        </w:rPr>
        <w:fldChar w:fldCharType="separate"/>
      </w:r>
      <w:r>
        <w:rPr>
          <w:rStyle w:val="LinkdaInternet"/>
          <w:i w:val="false"/>
          <w:iCs w:val="false"/>
          <w:color w:val="000000"/>
          <w:szCs w:val="21"/>
        </w:rPr>
        <w:t>art. 6º da LGPD</w:t>
      </w:r>
      <w:r>
        <w:rPr>
          <w:rStyle w:val="LinkdaInternet"/>
          <w:i w:val="false"/>
          <w:szCs w:val="21"/>
          <w:iCs w:val="false"/>
          <w:color w:val="000000"/>
        </w:rPr>
        <w:fldChar w:fldCharType="end"/>
      </w:r>
      <w:r>
        <w:rPr>
          <w:i w:val="false"/>
          <w:iCs w:val="false"/>
          <w:color w:val="000000"/>
          <w:szCs w:val="21"/>
        </w:rPr>
        <w:t xml:space="preserve">. </w:t>
      </w:r>
    </w:p>
    <w:p>
      <w:pPr>
        <w:pStyle w:val="Nvel2Red"/>
        <w:numPr>
          <w:ilvl w:val="1"/>
          <w:numId w:val="303"/>
        </w:numPr>
        <w:ind w:left="0" w:firstLine="567"/>
        <w:rPr>
          <w:i w:val="false"/>
          <w:i w:val="false"/>
          <w:iCs w:val="false"/>
          <w:color w:val="000000"/>
        </w:rPr>
      </w:pPr>
      <w:r>
        <w:rPr>
          <w:i w:val="false"/>
          <w:iCs w:val="false"/>
          <w:color w:val="000000"/>
          <w:szCs w:val="21"/>
        </w:rPr>
        <w:t>É vedado o compartilhamento com terceiros dos dados obtidos fora das hipóteses permitidas em Lei.</w:t>
      </w:r>
    </w:p>
    <w:p>
      <w:pPr>
        <w:pStyle w:val="Nvel2Red"/>
        <w:numPr>
          <w:ilvl w:val="1"/>
          <w:numId w:val="304"/>
        </w:numPr>
        <w:ind w:left="0" w:firstLine="567"/>
        <w:rPr>
          <w:i w:val="false"/>
          <w:i w:val="false"/>
          <w:iCs w:val="false"/>
          <w:color w:val="000000"/>
        </w:rPr>
      </w:pPr>
      <w:r>
        <w:rPr>
          <w:i w:val="false"/>
          <w:iCs w:val="false"/>
          <w:color w:val="000000"/>
          <w:szCs w:val="21"/>
        </w:rPr>
        <w:t xml:space="preserve">A Administração deverá ser informada no prazo de 5 (cinco) dias úteis sobre todos os contratos de suboperação firmados ou que venham a ser celebrados pelo Contratado. </w:t>
      </w:r>
    </w:p>
    <w:p>
      <w:pPr>
        <w:pStyle w:val="Nvel2Red"/>
        <w:numPr>
          <w:ilvl w:val="1"/>
          <w:numId w:val="305"/>
        </w:numPr>
        <w:ind w:left="0" w:firstLine="567"/>
        <w:rPr/>
      </w:pPr>
      <w:r>
        <w:rPr>
          <w:i w:val="false"/>
          <w:iCs w:val="false"/>
          <w:color w:val="000000"/>
          <w:szCs w:val="21"/>
        </w:rPr>
        <w:t xml:space="preserve">Terminado o tratamento dos dados nos termos do </w:t>
      </w:r>
      <w:r>
        <w:fldChar w:fldCharType="begin"/>
      </w:r>
      <w:r>
        <w:rPr>
          <w:rStyle w:val="LinkdaInternet"/>
          <w:i w:val="false"/>
          <w:szCs w:val="21"/>
          <w:iCs w:val="false"/>
          <w:color w:val="000000"/>
        </w:rPr>
        <w:instrText> HYPERLINK "https://www.planalto.gov.br/ccivil_03/_ato2015-2018/2018/lei/l13709.htm" \l "art15"</w:instrText>
      </w:r>
      <w:r>
        <w:rPr>
          <w:rStyle w:val="LinkdaInternet"/>
          <w:i w:val="false"/>
          <w:szCs w:val="21"/>
          <w:iCs w:val="false"/>
          <w:color w:val="000000"/>
        </w:rPr>
        <w:fldChar w:fldCharType="separate"/>
      </w:r>
      <w:r>
        <w:rPr>
          <w:rStyle w:val="LinkdaInternet"/>
          <w:i w:val="false"/>
          <w:iCs w:val="false"/>
          <w:color w:val="000000"/>
          <w:szCs w:val="21"/>
        </w:rPr>
        <w:t>art. 15 da LGPD</w:t>
      </w:r>
      <w:r>
        <w:rPr>
          <w:rStyle w:val="LinkdaInternet"/>
          <w:i w:val="false"/>
          <w:szCs w:val="21"/>
          <w:iCs w:val="false"/>
          <w:color w:val="000000"/>
        </w:rPr>
        <w:fldChar w:fldCharType="end"/>
      </w:r>
      <w:r>
        <w:rPr>
          <w:i w:val="false"/>
          <w:iCs w:val="false"/>
          <w:color w:val="000000"/>
          <w:szCs w:val="21"/>
        </w:rPr>
        <w:t xml:space="preserve">, é dever do contratado eliminá-los, com exceção das hipóteses do </w:t>
      </w:r>
      <w:r>
        <w:fldChar w:fldCharType="begin"/>
      </w:r>
      <w:r>
        <w:rPr>
          <w:rStyle w:val="LinkdaInternet"/>
          <w:i w:val="false"/>
          <w:szCs w:val="21"/>
          <w:iCs w:val="false"/>
          <w:color w:val="000000"/>
        </w:rPr>
        <w:instrText> HYPERLINK "https://www.planalto.gov.br/ccivil_03/_ato2015-2018/2018/lei/l13709.htm" \l "art16"</w:instrText>
      </w:r>
      <w:r>
        <w:rPr>
          <w:rStyle w:val="LinkdaInternet"/>
          <w:i w:val="false"/>
          <w:szCs w:val="21"/>
          <w:iCs w:val="false"/>
          <w:color w:val="000000"/>
        </w:rPr>
        <w:fldChar w:fldCharType="separate"/>
      </w:r>
      <w:r>
        <w:rPr>
          <w:rStyle w:val="LinkdaInternet"/>
          <w:i w:val="false"/>
          <w:iCs w:val="false"/>
          <w:color w:val="000000"/>
          <w:szCs w:val="21"/>
        </w:rPr>
        <w:t>art. 16 da LGPD</w:t>
      </w:r>
      <w:r>
        <w:rPr>
          <w:rStyle w:val="LinkdaInternet"/>
          <w:i w:val="false"/>
          <w:szCs w:val="21"/>
          <w:iCs w:val="false"/>
          <w:color w:val="000000"/>
        </w:rPr>
        <w:fldChar w:fldCharType="end"/>
      </w:r>
      <w:r>
        <w:rPr>
          <w:i w:val="false"/>
          <w:iCs w:val="false"/>
          <w:color w:val="000000"/>
          <w:szCs w:val="21"/>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306"/>
        </w:numPr>
        <w:ind w:left="0" w:firstLine="567"/>
        <w:rPr>
          <w:i w:val="false"/>
          <w:i w:val="false"/>
          <w:iCs w:val="false"/>
          <w:color w:val="000000"/>
        </w:rPr>
      </w:pPr>
      <w:commentRangeStart w:id="77"/>
      <w:r>
        <w:rPr>
          <w:i w:val="false"/>
          <w:iCs w:val="false"/>
          <w:color w:val="000000"/>
          <w:szCs w:val="21"/>
        </w:rPr>
        <w:t xml:space="preserve">É dever do contratado orientar e treinar seus empregados sobre os deveres, requisitos e responsabilidades decorrentes da LGPD. </w:t>
      </w:r>
      <w:commentRangeEnd w:id="77"/>
      <w:r>
        <w:commentReference w:id="77"/>
      </w:r>
      <w:r>
        <w:rPr>
          <w:i w:val="false"/>
          <w:iCs w:val="false"/>
          <w:color w:val="000000"/>
          <w:szCs w:val="21"/>
        </w:rPr>
      </w:r>
    </w:p>
    <w:p>
      <w:pPr>
        <w:pStyle w:val="Nvel2Red"/>
        <w:numPr>
          <w:ilvl w:val="1"/>
          <w:numId w:val="307"/>
        </w:numPr>
        <w:ind w:left="0" w:firstLine="567"/>
        <w:rPr>
          <w:i w:val="false"/>
          <w:i w:val="false"/>
          <w:iCs w:val="false"/>
          <w:color w:val="000000"/>
        </w:rPr>
      </w:pPr>
      <w:r>
        <w:rPr>
          <w:i w:val="false"/>
          <w:iCs w:val="false"/>
          <w:color w:val="000000"/>
          <w:szCs w:val="21"/>
        </w:rPr>
        <w:t>O Contratado deverá exigir de suboperadores e subcontratados o cumprimento dos deveres da presente cláusula, permanecendo integralmente responsável por garantir sua observância.</w:t>
      </w:r>
    </w:p>
    <w:p>
      <w:pPr>
        <w:pStyle w:val="Nvel2Red"/>
        <w:numPr>
          <w:ilvl w:val="1"/>
          <w:numId w:val="308"/>
        </w:numPr>
        <w:ind w:left="0" w:firstLine="567"/>
        <w:rPr>
          <w:i w:val="false"/>
          <w:i w:val="false"/>
          <w:iCs w:val="false"/>
          <w:color w:val="000000"/>
        </w:rPr>
      </w:pPr>
      <w:commentRangeStart w:id="78"/>
      <w:r>
        <w:rPr>
          <w:i w:val="false"/>
          <w:iCs w:val="false"/>
          <w:color w:val="000000"/>
          <w:szCs w:val="21"/>
        </w:rPr>
        <w:t xml:space="preserve">O Contratante poderá realizar diligência para aferir o cumprimento dessa cláusula, devendo o Contratado atender prontamente eventuais pedidos de comprovação formulados. </w:t>
      </w:r>
      <w:commentRangeEnd w:id="78"/>
      <w:r>
        <w:commentReference w:id="78"/>
      </w:r>
      <w:r>
        <w:rPr>
          <w:i w:val="false"/>
          <w:iCs w:val="false"/>
          <w:color w:val="000000"/>
          <w:szCs w:val="21"/>
        </w:rPr>
      </w:r>
    </w:p>
    <w:p>
      <w:pPr>
        <w:pStyle w:val="Nvel2Red"/>
        <w:numPr>
          <w:ilvl w:val="1"/>
          <w:numId w:val="309"/>
        </w:numPr>
        <w:ind w:left="0" w:firstLine="567"/>
        <w:rPr>
          <w:i w:val="false"/>
          <w:i w:val="false"/>
          <w:iCs w:val="false"/>
          <w:color w:val="000000"/>
        </w:rPr>
      </w:pPr>
      <w:r>
        <w:rPr>
          <w:i w:val="false"/>
          <w:iCs w:val="false"/>
          <w:color w:val="000000"/>
          <w:szCs w:val="21"/>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310"/>
        </w:numPr>
        <w:ind w:left="0" w:firstLine="567"/>
        <w:rPr/>
      </w:pPr>
      <w:r>
        <w:rPr>
          <w:i w:val="false"/>
          <w:iCs w:val="false"/>
          <w:color w:val="000000"/>
          <w:szCs w:val="21"/>
        </w:rPr>
        <w:t>Bancos de dados formados a partir de contratos administrativos, notadamente aqueles que se proponham a armazenar dados pessoais, devem ser mantidos em ambiente virtual controlado, com registro individual rastreável de tratamentos realizados (</w:t>
      </w:r>
      <w:hyperlink r:id="rId37">
        <w:r>
          <w:rPr>
            <w:rStyle w:val="LinkdaInternet"/>
            <w:i w:val="false"/>
            <w:iCs w:val="false"/>
            <w:color w:val="000000"/>
            <w:szCs w:val="21"/>
          </w:rPr>
          <w:t>LGPD, art. 37</w:t>
        </w:r>
      </w:hyperlink>
      <w:r>
        <w:rPr>
          <w:i w:val="false"/>
          <w:iCs w:val="false"/>
          <w:color w:val="000000"/>
          <w:szCs w:val="21"/>
        </w:rPr>
        <w:t>), com cada acesso, data, horário e registro da finalidade, para efeito de responsabilização, em caso de eventuais omissões, desvios ou abusos.</w:t>
      </w:r>
    </w:p>
    <w:p>
      <w:pPr>
        <w:pStyle w:val="Nvel3R"/>
        <w:numPr>
          <w:ilvl w:val="2"/>
          <w:numId w:val="311"/>
        </w:numPr>
        <w:ind w:left="964" w:hanging="0"/>
        <w:rPr>
          <w:i w:val="false"/>
          <w:i w:val="false"/>
          <w:iCs w:val="false"/>
          <w:color w:val="000000"/>
        </w:rPr>
      </w:pPr>
      <w:r>
        <w:rPr>
          <w:i w:val="false"/>
          <w:iCs w:val="false"/>
          <w:color w:val="000000"/>
          <w:sz w:val="21"/>
          <w:szCs w:val="21"/>
        </w:rPr>
        <w:t>Os referidos bancos de dados devem ser desenvolvidos em formato interoperável, a fim de garantir a reutilização desses dados pela Administração nas hipóteses previstas na LGPD.</w:t>
      </w:r>
    </w:p>
    <w:p>
      <w:pPr>
        <w:pStyle w:val="Nvel2Red"/>
        <w:numPr>
          <w:ilvl w:val="1"/>
          <w:numId w:val="312"/>
        </w:numPr>
        <w:ind w:left="0" w:firstLine="567"/>
        <w:rPr>
          <w:i w:val="false"/>
          <w:i w:val="false"/>
          <w:iCs w:val="false"/>
          <w:color w:val="000000"/>
        </w:rPr>
      </w:pPr>
      <w:r>
        <w:rPr>
          <w:i w:val="false"/>
          <w:iCs w:val="false"/>
          <w:color w:val="000000"/>
          <w:szCs w:val="21"/>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313"/>
        </w:numPr>
        <w:ind w:left="0" w:firstLine="624"/>
        <w:rPr/>
      </w:pPr>
      <w:commentRangeStart w:id="79"/>
      <w:r>
        <w:rPr>
          <w:i w:val="false"/>
          <w:iCs w:val="false"/>
          <w:color w:val="000000"/>
          <w:szCs w:val="21"/>
        </w:rPr>
        <w:t xml:space="preserve">Os contratos e convênios de que trata o </w:t>
      </w:r>
      <w:r>
        <w:fldChar w:fldCharType="begin"/>
      </w:r>
      <w:r>
        <w:rPr>
          <w:rStyle w:val="LinkdaInternet"/>
          <w:i w:val="false"/>
          <w:szCs w:val="21"/>
          <w:iCs w:val="false"/>
          <w:color w:val="000000"/>
        </w:rPr>
        <w:instrText> HYPERLINK "https://www.planalto.gov.br/ccivil_03/_ato2015-2018/2018/lei/l13709.htm" \l "art26§1"</w:instrText>
      </w:r>
      <w:r>
        <w:rPr>
          <w:rStyle w:val="LinkdaInternet"/>
          <w:i w:val="false"/>
          <w:szCs w:val="21"/>
          <w:iCs w:val="false"/>
          <w:color w:val="000000"/>
        </w:rPr>
        <w:fldChar w:fldCharType="separate"/>
      </w:r>
      <w:r>
        <w:rPr>
          <w:rStyle w:val="LinkdaInternet"/>
          <w:i w:val="false"/>
          <w:iCs w:val="false"/>
          <w:color w:val="000000"/>
          <w:szCs w:val="21"/>
        </w:rPr>
        <w:t>§ 1º do art. 26 da LGPD</w:t>
      </w:r>
      <w:r>
        <w:rPr>
          <w:rStyle w:val="LinkdaInternet"/>
          <w:i w:val="false"/>
          <w:szCs w:val="21"/>
          <w:iCs w:val="false"/>
          <w:color w:val="000000"/>
        </w:rPr>
        <w:fldChar w:fldCharType="end"/>
      </w:r>
      <w:r>
        <w:rPr>
          <w:i w:val="false"/>
          <w:iCs w:val="false"/>
          <w:color w:val="000000"/>
          <w:szCs w:val="21"/>
        </w:rPr>
        <w:t xml:space="preserve"> deverão ser comunicados à autoridade nacional.</w:t>
      </w:r>
      <w:commentRangeEnd w:id="79"/>
      <w:r>
        <w:commentReference w:id="79"/>
      </w:r>
      <w:r>
        <w:rPr>
          <w:i w:val="false"/>
          <w:iCs w:val="false"/>
          <w:color w:val="000000"/>
          <w:szCs w:val="21"/>
        </w:rPr>
      </w:r>
    </w:p>
    <w:p>
      <w:pPr>
        <w:pStyle w:val="Nvel3R"/>
        <w:tabs>
          <w:tab w:val="clear" w:pos="0"/>
        </w:tabs>
        <w:ind w:left="284" w:hanging="0"/>
        <w:rPr>
          <w:i w:val="false"/>
          <w:i w:val="false"/>
          <w:iCs w:val="false"/>
          <w:color w:val="000000"/>
          <w:sz w:val="21"/>
          <w:szCs w:val="21"/>
        </w:rPr>
      </w:pPr>
      <w:r>
        <w:rPr>
          <w:i w:val="false"/>
          <w:iCs w:val="false"/>
          <w:color w:val="000000"/>
          <w:sz w:val="21"/>
          <w:szCs w:val="21"/>
        </w:rPr>
      </w:r>
    </w:p>
    <w:p>
      <w:pPr>
        <w:pStyle w:val="Nivel01"/>
        <w:numPr>
          <w:ilvl w:val="0"/>
          <w:numId w:val="314"/>
        </w:numPr>
        <w:spacing w:lineRule="auto" w:line="276" w:before="0" w:after="240"/>
        <w:ind w:left="0" w:right="0" w:hanging="0"/>
        <w:rPr/>
      </w:pPr>
      <w:commentRangeStart w:id="80"/>
      <w:r>
        <w:rPr>
          <w:i w:val="false"/>
          <w:iCs w:val="false"/>
          <w:color w:val="000000"/>
          <w:sz w:val="21"/>
          <w:szCs w:val="21"/>
        </w:rPr>
        <w:t>CLÁUSULA DÉCIMA PRIMEIRA– GARANTIA DE EXECUÇÃO (</w:t>
      </w:r>
      <w:r>
        <w:fldChar w:fldCharType="begin"/>
      </w:r>
      <w:r>
        <w:rPr>
          <w:rStyle w:val="LinkdaInternet"/>
          <w:sz w:val="21"/>
          <w:i w:val="false"/>
          <w:szCs w:val="21"/>
          <w:iCs w:val="false"/>
          <w:color w:val="000000"/>
        </w:rPr>
        <w:instrText> HYPERLINK "http://www.planalto.gov.br/ccivil_03/_ato2019-2022/2021/lei/L14133.htm" \l "art92"</w:instrText>
      </w:r>
      <w:r>
        <w:rPr>
          <w:rStyle w:val="LinkdaInternet"/>
          <w:sz w:val="21"/>
          <w:i w:val="false"/>
          <w:szCs w:val="21"/>
          <w:iCs w:val="false"/>
          <w:color w:val="000000"/>
        </w:rPr>
        <w:fldChar w:fldCharType="separate"/>
      </w:r>
      <w:r>
        <w:rPr>
          <w:rStyle w:val="LinkdaInternet"/>
          <w:i w:val="false"/>
          <w:iCs w:val="false"/>
          <w:color w:val="000000"/>
          <w:sz w:val="21"/>
          <w:szCs w:val="21"/>
        </w:rPr>
        <w:t>art. 92, XII e XIII</w:t>
      </w:r>
      <w:r>
        <w:rPr>
          <w:rStyle w:val="LinkdaInternet"/>
          <w:sz w:val="21"/>
          <w:i w:val="false"/>
          <w:szCs w:val="21"/>
          <w:iCs w:val="false"/>
          <w:color w:val="000000"/>
        </w:rPr>
        <w:fldChar w:fldCharType="end"/>
      </w:r>
      <w:r>
        <w:rPr>
          <w:i w:val="false"/>
          <w:iCs w:val="false"/>
          <w:color w:val="000000"/>
          <w:sz w:val="21"/>
          <w:szCs w:val="21"/>
        </w:rPr>
        <w:t>)</w:t>
      </w:r>
      <w:commentRangeEnd w:id="80"/>
      <w:r>
        <w:commentReference w:id="80"/>
      </w:r>
      <w:r>
        <w:rPr>
          <w:i w:val="false"/>
          <w:iCs w:val="false"/>
          <w:color w:val="000000"/>
          <w:sz w:val="21"/>
          <w:szCs w:val="21"/>
        </w:rPr>
      </w:r>
    </w:p>
    <w:p>
      <w:pPr>
        <w:pStyle w:val="Nvel2Red"/>
        <w:numPr>
          <w:ilvl w:val="1"/>
          <w:numId w:val="315"/>
        </w:numPr>
        <w:ind w:left="0" w:firstLine="567"/>
        <w:rPr>
          <w:i w:val="false"/>
          <w:i w:val="false"/>
          <w:iCs w:val="false"/>
          <w:color w:val="000000"/>
        </w:rPr>
      </w:pPr>
      <w:commentRangeStart w:id="81"/>
      <w:r>
        <w:rPr>
          <w:i w:val="false"/>
          <w:iCs w:val="false"/>
          <w:color w:val="000000"/>
          <w:szCs w:val="21"/>
        </w:rPr>
        <w:t>Não haverá exigência de garantia contratual da execução.</w:t>
      </w:r>
      <w:commentRangeEnd w:id="81"/>
      <w:r>
        <w:commentReference w:id="81"/>
      </w:r>
      <w:r>
        <w:rPr>
          <w:i w:val="false"/>
          <w:iCs w:val="false"/>
          <w:color w:val="000000"/>
          <w:szCs w:val="21"/>
        </w:rPr>
      </w:r>
    </w:p>
    <w:p>
      <w:pPr>
        <w:pStyle w:val="Ou"/>
        <w:spacing w:lineRule="auto" w:line="276" w:before="0" w:after="240"/>
        <w:ind w:left="0" w:firstLine="567"/>
        <w:contextualSpacing/>
        <w:rPr>
          <w:sz w:val="21"/>
          <w:szCs w:val="21"/>
        </w:rPr>
      </w:pPr>
      <w:r>
        <w:rPr>
          <w:sz w:val="21"/>
          <w:szCs w:val="21"/>
        </w:rPr>
      </w:r>
    </w:p>
    <w:p>
      <w:pPr>
        <w:pStyle w:val="Nivel01"/>
        <w:numPr>
          <w:ilvl w:val="0"/>
          <w:numId w:val="316"/>
        </w:numPr>
        <w:ind w:left="0" w:right="0" w:hanging="0"/>
        <w:rPr/>
      </w:pPr>
      <w:r>
        <w:rPr>
          <w:sz w:val="21"/>
          <w:szCs w:val="21"/>
        </w:rPr>
        <w:t>CLÁUSULA DÉCIMA SEGUNDA – INFRAÇÕES E SANÇÕES ADMINISTRATIVAS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XIV</w:t>
      </w:r>
      <w:r>
        <w:rPr>
          <w:rStyle w:val="LinkdaInternet"/>
          <w:sz w:val="21"/>
          <w:szCs w:val="21"/>
        </w:rPr>
        <w:fldChar w:fldCharType="end"/>
      </w:r>
      <w:r>
        <w:rPr>
          <w:sz w:val="21"/>
          <w:szCs w:val="21"/>
        </w:rPr>
        <w:t>)</w:t>
      </w:r>
    </w:p>
    <w:p>
      <w:pPr>
        <w:pStyle w:val="Nivel2"/>
        <w:tabs>
          <w:tab w:val="clear" w:pos="0"/>
          <w:tab w:val="left" w:pos="1276" w:leader="none"/>
        </w:tabs>
        <w:ind w:left="567" w:hanging="0"/>
        <w:rPr>
          <w:color w:val="000000"/>
          <w:szCs w:val="21"/>
        </w:rPr>
      </w:pPr>
      <w:r>
        <w:rPr>
          <w:color w:val="000000"/>
          <w:szCs w:val="21"/>
        </w:rPr>
      </w:r>
    </w:p>
    <w:p>
      <w:pPr>
        <w:pStyle w:val="Nivel2"/>
        <w:numPr>
          <w:ilvl w:val="1"/>
          <w:numId w:val="317"/>
        </w:numPr>
        <w:ind w:left="0" w:firstLine="624"/>
        <w:rPr/>
      </w:pPr>
      <w:r>
        <w:rPr>
          <w:color w:val="000000"/>
          <w:szCs w:val="21"/>
        </w:rPr>
        <w:t xml:space="preserve">Comete infração administrativa, nos termos da </w:t>
      </w:r>
      <w:hyperlink r:id="rId38">
        <w:r>
          <w:rPr>
            <w:rStyle w:val="LinkdaInternet"/>
            <w:color w:val="000000"/>
            <w:szCs w:val="21"/>
          </w:rPr>
          <w:t>Lei nº 14.133, de 2021</w:t>
        </w:r>
      </w:hyperlink>
      <w:r>
        <w:rPr>
          <w:color w:val="000000"/>
          <w:szCs w:val="21"/>
        </w:rPr>
        <w:t>, o contratado que:</w:t>
      </w:r>
    </w:p>
    <w:p>
      <w:pPr>
        <w:pStyle w:val="Normal"/>
        <w:numPr>
          <w:ilvl w:val="0"/>
          <w:numId w:val="0"/>
        </w:numPr>
        <w:spacing w:lineRule="auto" w:line="276" w:before="120" w:after="120"/>
        <w:ind w:left="0" w:hanging="0"/>
        <w:jc w:val="both"/>
        <w:rPr>
          <w:color w:val="000000"/>
        </w:rPr>
      </w:pPr>
      <w:r>
        <w:rPr>
          <w:rFonts w:eastAsia="Arial" w:cs="Arial" w:ascii="Arial" w:hAnsi="Arial"/>
          <w:color w:val="000000"/>
          <w:sz w:val="21"/>
          <w:szCs w:val="21"/>
        </w:rPr>
        <w:t>a) der causa à inexecução parcial do contrato;</w:t>
      </w:r>
    </w:p>
    <w:p>
      <w:pPr>
        <w:pStyle w:val="Normal"/>
        <w:numPr>
          <w:ilvl w:val="0"/>
          <w:numId w:val="0"/>
        </w:numPr>
        <w:spacing w:lineRule="auto" w:line="276" w:before="120" w:after="120"/>
        <w:ind w:left="0" w:hanging="0"/>
        <w:jc w:val="both"/>
        <w:rPr>
          <w:color w:val="000000"/>
        </w:rPr>
      </w:pPr>
      <w:r>
        <w:rPr>
          <w:rFonts w:eastAsia="Arial" w:cs="Arial" w:ascii="Arial" w:hAnsi="Arial"/>
          <w:color w:val="000000"/>
          <w:sz w:val="21"/>
          <w:szCs w:val="21"/>
        </w:rPr>
        <w:t>b) der causa à inexecução parcial do contrato que cause grave dano à Administração ou ao funcionamento dos serviços públicos ou ao interesse coletivo;</w:t>
      </w:r>
    </w:p>
    <w:p>
      <w:pPr>
        <w:pStyle w:val="Normal"/>
        <w:numPr>
          <w:ilvl w:val="0"/>
          <w:numId w:val="0"/>
        </w:numPr>
        <w:spacing w:lineRule="auto" w:line="276" w:before="120" w:after="120"/>
        <w:ind w:left="0" w:hanging="0"/>
        <w:jc w:val="both"/>
        <w:rPr>
          <w:color w:val="000000"/>
        </w:rPr>
      </w:pPr>
      <w:r>
        <w:rPr>
          <w:rFonts w:eastAsia="Arial" w:cs="Arial" w:ascii="Arial" w:hAnsi="Arial"/>
          <w:color w:val="000000"/>
          <w:sz w:val="21"/>
          <w:szCs w:val="21"/>
        </w:rPr>
        <w:t>c) der causa à inexecução total do contrato;</w:t>
      </w:r>
    </w:p>
    <w:p>
      <w:pPr>
        <w:pStyle w:val="Normal"/>
        <w:numPr>
          <w:ilvl w:val="0"/>
          <w:numId w:val="0"/>
        </w:numPr>
        <w:spacing w:lineRule="auto" w:line="276" w:before="120" w:after="120"/>
        <w:ind w:left="0" w:hanging="0"/>
        <w:jc w:val="both"/>
        <w:rPr>
          <w:color w:val="000000"/>
        </w:rPr>
      </w:pPr>
      <w:r>
        <w:rPr>
          <w:rFonts w:eastAsia="Arial" w:cs="Arial" w:ascii="Arial" w:hAnsi="Arial"/>
          <w:color w:val="000000"/>
          <w:sz w:val="21"/>
          <w:szCs w:val="21"/>
        </w:rPr>
        <w:t>d) ensejar o retardamento da execução ou da entrega do objeto da contratação sem motivo justificado;</w:t>
      </w:r>
    </w:p>
    <w:p>
      <w:pPr>
        <w:pStyle w:val="Normal"/>
        <w:numPr>
          <w:ilvl w:val="0"/>
          <w:numId w:val="0"/>
        </w:numPr>
        <w:spacing w:lineRule="auto" w:line="276" w:before="120" w:after="120"/>
        <w:ind w:left="0" w:hanging="0"/>
        <w:jc w:val="both"/>
        <w:rPr/>
      </w:pPr>
      <w:r>
        <w:rPr>
          <w:rFonts w:eastAsia="Arial" w:cs="Arial" w:ascii="Arial" w:hAnsi="Arial"/>
          <w:sz w:val="21"/>
          <w:szCs w:val="21"/>
        </w:rPr>
        <w:t>e) apresentar documentação falsa ou prestar declaração falsa durante a execução do contrato;</w:t>
      </w:r>
    </w:p>
    <w:p>
      <w:pPr>
        <w:pStyle w:val="Normal"/>
        <w:numPr>
          <w:ilvl w:val="0"/>
          <w:numId w:val="0"/>
        </w:numPr>
        <w:spacing w:lineRule="auto" w:line="276" w:before="120" w:after="120"/>
        <w:ind w:left="0" w:hanging="0"/>
        <w:jc w:val="both"/>
        <w:rPr/>
      </w:pPr>
      <w:r>
        <w:rPr>
          <w:rFonts w:eastAsia="Arial" w:cs="Arial" w:ascii="Arial" w:hAnsi="Arial"/>
          <w:sz w:val="21"/>
          <w:szCs w:val="21"/>
        </w:rPr>
        <w:t>f) praticar ato fraudulento na execução do contrato;</w:t>
      </w:r>
    </w:p>
    <w:p>
      <w:pPr>
        <w:pStyle w:val="Normal"/>
        <w:numPr>
          <w:ilvl w:val="0"/>
          <w:numId w:val="0"/>
        </w:numPr>
        <w:spacing w:lineRule="auto" w:line="276" w:before="120" w:after="120"/>
        <w:ind w:left="0" w:hanging="0"/>
        <w:jc w:val="both"/>
        <w:rPr/>
      </w:pPr>
      <w:r>
        <w:rPr>
          <w:rFonts w:eastAsia="Arial" w:cs="Arial" w:ascii="Arial" w:hAnsi="Arial"/>
          <w:sz w:val="21"/>
          <w:szCs w:val="21"/>
        </w:rPr>
        <w:t>g) comp</w:t>
      </w:r>
      <w:r>
        <w:rPr>
          <w:rFonts w:eastAsia="Arial" w:cs="Arial" w:ascii="Arial" w:hAnsi="Arial"/>
          <w:color w:val="000000"/>
          <w:sz w:val="21"/>
          <w:szCs w:val="21"/>
        </w:rPr>
        <w:t>ortar-se de modo inidôneo ou cometer fraude de qualquer natureza;</w:t>
      </w:r>
    </w:p>
    <w:p>
      <w:pPr>
        <w:pStyle w:val="Normal"/>
        <w:numPr>
          <w:ilvl w:val="0"/>
          <w:numId w:val="0"/>
        </w:numPr>
        <w:spacing w:lineRule="auto" w:line="276" w:before="120" w:after="120"/>
        <w:ind w:left="0" w:hanging="0"/>
        <w:jc w:val="both"/>
        <w:rPr>
          <w:color w:val="000000"/>
        </w:rPr>
      </w:pPr>
      <w:r>
        <w:rPr>
          <w:rFonts w:eastAsia="Arial" w:cs="Arial" w:ascii="Arial" w:hAnsi="Arial"/>
          <w:color w:val="000000"/>
          <w:sz w:val="21"/>
          <w:szCs w:val="21"/>
        </w:rPr>
        <w:t>h) praticar ato lesivo previsto no art. 5º da Lei nº 12.846, de 1º de agosto de 2013;</w:t>
      </w:r>
    </w:p>
    <w:p>
      <w:pPr>
        <w:pStyle w:val="Nivel2"/>
        <w:numPr>
          <w:ilvl w:val="1"/>
          <w:numId w:val="318"/>
        </w:numPr>
        <w:ind w:left="0" w:firstLine="624"/>
        <w:rPr>
          <w:color w:val="000000"/>
        </w:rPr>
      </w:pPr>
      <w:r>
        <w:rPr>
          <w:color w:val="000000"/>
          <w:szCs w:val="21"/>
        </w:rPr>
        <w:t>Serão aplicadas ao contratado que incorrer nas infrações acima descritas as seguintes sanções:</w:t>
      </w:r>
    </w:p>
    <w:p>
      <w:pPr>
        <w:pStyle w:val="Normal"/>
        <w:numPr>
          <w:ilvl w:val="0"/>
          <w:numId w:val="0"/>
        </w:numPr>
        <w:spacing w:lineRule="auto" w:line="276" w:before="120" w:after="120"/>
        <w:ind w:left="0" w:hanging="0"/>
        <w:contextualSpacing/>
        <w:jc w:val="both"/>
        <w:rPr/>
      </w:pPr>
      <w:r>
        <w:rPr>
          <w:rFonts w:eastAsia="Arial" w:cs="Arial" w:ascii="Arial" w:hAnsi="Arial"/>
          <w:b/>
          <w:bCs/>
          <w:color w:val="000000"/>
          <w:sz w:val="21"/>
          <w:szCs w:val="21"/>
        </w:rPr>
        <w:t>1) Advertência</w:t>
      </w:r>
      <w:r>
        <w:rPr>
          <w:rFonts w:eastAsia="Arial" w:cs="Arial" w:ascii="Arial" w:hAnsi="Arial"/>
          <w:color w:val="000000"/>
          <w:sz w:val="21"/>
          <w:szCs w:val="21"/>
        </w:rPr>
        <w:t>, quando o contratado der causa à inexecução parcial do contrato, sempre que não se justificar a imposição de penalidade mais grave (</w:t>
      </w:r>
      <w:r>
        <w:fldChar w:fldCharType="begin"/>
      </w:r>
      <w:r>
        <w:rPr>
          <w:rStyle w:val="LinkdaInternet"/>
          <w:sz w:val="21"/>
          <w:szCs w:val="21"/>
          <w:rFonts w:eastAsia="Arial" w:cs="Arial" w:ascii="Arial" w:hAnsi="Arial"/>
          <w:color w:val="000000"/>
        </w:rPr>
        <w:instrText> HYPERLINK "http://www.planalto.gov.br/ccivil_03/_ato2019-2022/2021/lei/L14133.htm" \l "art156§2"</w:instrText>
      </w:r>
      <w:r>
        <w:rPr>
          <w:rStyle w:val="LinkdaInternet"/>
          <w:sz w:val="21"/>
          <w:szCs w:val="21"/>
          <w:rFonts w:eastAsia="Arial" w:cs="Arial" w:ascii="Arial" w:hAnsi="Arial"/>
          <w:color w:val="000000"/>
        </w:rPr>
        <w:fldChar w:fldCharType="separate"/>
      </w:r>
      <w:r>
        <w:rPr>
          <w:rStyle w:val="LinkdaInternet"/>
          <w:rFonts w:eastAsia="Arial" w:cs="Arial" w:ascii="Arial" w:hAnsi="Arial"/>
          <w:color w:val="000000"/>
          <w:sz w:val="21"/>
          <w:szCs w:val="21"/>
        </w:rPr>
        <w:t xml:space="preserve">art. 156, §2º, da </w:t>
      </w:r>
      <w:r>
        <w:rPr>
          <w:rStyle w:val="LinkdaInternet"/>
          <w:sz w:val="21"/>
          <w:szCs w:val="21"/>
          <w:rFonts w:eastAsia="Arial" w:cs="Arial" w:ascii="Arial" w:hAnsi="Arial"/>
          <w:color w:val="000000"/>
        </w:rPr>
        <w:fldChar w:fldCharType="end"/>
      </w:r>
      <w:bookmarkStart w:id="76" w:name="_Hlk1145040691"/>
      <w:r>
        <w:rPr>
          <w:rStyle w:val="LinkdaInternet"/>
          <w:rFonts w:eastAsia="Arial" w:cs="Arial" w:ascii="Arial" w:hAnsi="Arial"/>
          <w:color w:val="000000"/>
          <w:sz w:val="21"/>
          <w:szCs w:val="21"/>
        </w:rPr>
        <w:t>Lei nº 14.133, de 2021</w:t>
      </w:r>
      <w:bookmarkEnd w:id="76"/>
      <w:r>
        <w:rPr>
          <w:rFonts w:eastAsia="Arial" w:cs="Arial" w:ascii="Arial" w:hAnsi="Arial"/>
          <w:color w:val="000000"/>
          <w:sz w:val="21"/>
          <w:szCs w:val="21"/>
        </w:rPr>
        <w:t>);</w:t>
      </w:r>
    </w:p>
    <w:p>
      <w:pPr>
        <w:pStyle w:val="Normal"/>
        <w:numPr>
          <w:ilvl w:val="0"/>
          <w:numId w:val="0"/>
        </w:numPr>
        <w:spacing w:lineRule="auto" w:line="276" w:before="120" w:after="120"/>
        <w:ind w:left="0" w:hanging="0"/>
        <w:contextualSpacing/>
        <w:jc w:val="both"/>
        <w:rPr/>
      </w:pPr>
      <w:r>
        <w:rPr>
          <w:rFonts w:eastAsia="Arial" w:cs="Arial" w:ascii="Arial" w:hAnsi="Arial"/>
          <w:b/>
          <w:bCs/>
          <w:color w:val="000000"/>
          <w:sz w:val="21"/>
          <w:szCs w:val="21"/>
        </w:rPr>
        <w:t>2) Impedimento de licitar e contratar</w:t>
      </w:r>
      <w:r>
        <w:rPr>
          <w:rFonts w:eastAsia="Arial" w:cs="Arial" w:ascii="Arial" w:hAnsi="Arial"/>
          <w:color w:val="000000"/>
          <w:sz w:val="21"/>
          <w:szCs w:val="21"/>
        </w:rPr>
        <w:t>, quando praticadas as condutas descritas nas alíneas “b”, “c” e “d” do subitem acima deste Contrato, sempre que não se justificar a imposição de penalidade mais grave (</w:t>
      </w:r>
      <w:r>
        <w:fldChar w:fldCharType="begin"/>
      </w:r>
      <w:r>
        <w:rPr>
          <w:rStyle w:val="LinkdaInternet"/>
          <w:sz w:val="21"/>
          <w:szCs w:val="21"/>
          <w:rFonts w:eastAsia="Arial" w:cs="Arial" w:ascii="Arial" w:hAnsi="Arial"/>
          <w:color w:val="000000"/>
        </w:rPr>
        <w:instrText> HYPERLINK "http://www.planalto.gov.br/ccivil_03/_ato2019-2022/2021/lei/L14133.htm" \l "art156§4"</w:instrText>
      </w:r>
      <w:r>
        <w:rPr>
          <w:rStyle w:val="LinkdaInternet"/>
          <w:sz w:val="21"/>
          <w:szCs w:val="21"/>
          <w:rFonts w:eastAsia="Arial" w:cs="Arial" w:ascii="Arial" w:hAnsi="Arial"/>
          <w:color w:val="000000"/>
        </w:rPr>
        <w:fldChar w:fldCharType="separate"/>
      </w:r>
      <w:r>
        <w:rPr>
          <w:rStyle w:val="LinkdaInternet"/>
          <w:rFonts w:eastAsia="Arial" w:cs="Arial" w:ascii="Arial" w:hAnsi="Arial"/>
          <w:color w:val="000000"/>
          <w:sz w:val="21"/>
          <w:szCs w:val="21"/>
        </w:rPr>
        <w:t>art. 156, § 4º, da Lei nº 14.133, de 2021</w:t>
      </w:r>
      <w:r>
        <w:rPr>
          <w:rStyle w:val="LinkdaInternet"/>
          <w:sz w:val="21"/>
          <w:szCs w:val="21"/>
          <w:rFonts w:eastAsia="Arial" w:cs="Arial" w:ascii="Arial" w:hAnsi="Arial"/>
          <w:color w:val="000000"/>
        </w:rPr>
        <w:fldChar w:fldCharType="end"/>
      </w:r>
      <w:r>
        <w:rPr>
          <w:rFonts w:eastAsia="Arial" w:cs="Arial" w:ascii="Arial" w:hAnsi="Arial"/>
          <w:color w:val="000000"/>
          <w:sz w:val="21"/>
          <w:szCs w:val="21"/>
        </w:rPr>
        <w:t>);</w:t>
      </w:r>
    </w:p>
    <w:p>
      <w:pPr>
        <w:pStyle w:val="Normal"/>
        <w:numPr>
          <w:ilvl w:val="0"/>
          <w:numId w:val="0"/>
        </w:numPr>
        <w:spacing w:lineRule="auto" w:line="276" w:before="120" w:after="120"/>
        <w:ind w:left="0" w:hanging="0"/>
        <w:contextualSpacing/>
        <w:jc w:val="both"/>
        <w:rPr/>
      </w:pPr>
      <w:r>
        <w:rPr>
          <w:rFonts w:eastAsia="Arial" w:cs="Arial" w:ascii="Arial" w:hAnsi="Arial"/>
          <w:b/>
          <w:bCs/>
          <w:color w:val="000000"/>
          <w:sz w:val="21"/>
          <w:szCs w:val="21"/>
        </w:rPr>
        <w:t>3) Declaração de inidoneidade para licitar e contratar</w:t>
      </w:r>
      <w:r>
        <w:rPr>
          <w:rFonts w:eastAsia="Arial" w:cs="Arial" w:ascii="Arial" w:hAnsi="Arial"/>
          <w:color w:val="000000"/>
          <w:sz w:val="21"/>
          <w:szCs w:val="21"/>
        </w:rPr>
        <w:t>, quando praticadas as condutas descritas nas alíneas “e”, “f”, “g” e “h” do subitem acima deste Contrato, bem como nas alíneas “b”, “c” e “d”, que justifiquem a imposição de penalidade mais grave (</w:t>
      </w:r>
      <w:r>
        <w:fldChar w:fldCharType="begin"/>
      </w:r>
      <w:r>
        <w:rPr>
          <w:rStyle w:val="LinkdaInternet"/>
          <w:sz w:val="21"/>
          <w:szCs w:val="21"/>
          <w:rFonts w:eastAsia="Arial" w:cs="Arial" w:ascii="Arial" w:hAnsi="Arial"/>
          <w:color w:val="000000"/>
        </w:rPr>
        <w:instrText> HYPERLINK "http://www.planalto.gov.br/ccivil_03/_ato2019-2022/2021/lei/L14133.htm" \l "art156§5"</w:instrText>
      </w:r>
      <w:r>
        <w:rPr>
          <w:rStyle w:val="LinkdaInternet"/>
          <w:sz w:val="21"/>
          <w:szCs w:val="21"/>
          <w:rFonts w:eastAsia="Arial" w:cs="Arial" w:ascii="Arial" w:hAnsi="Arial"/>
          <w:color w:val="000000"/>
        </w:rPr>
        <w:fldChar w:fldCharType="separate"/>
      </w:r>
      <w:r>
        <w:rPr>
          <w:rStyle w:val="LinkdaInternet"/>
          <w:rFonts w:eastAsia="Arial" w:cs="Arial" w:ascii="Arial" w:hAnsi="Arial"/>
          <w:color w:val="000000"/>
          <w:sz w:val="21"/>
          <w:szCs w:val="21"/>
        </w:rPr>
        <w:t>art. 156, §5º, da Lei nº 14.133, de 2021</w:t>
      </w:r>
      <w:r>
        <w:rPr>
          <w:rStyle w:val="LinkdaInternet"/>
          <w:sz w:val="21"/>
          <w:szCs w:val="21"/>
          <w:rFonts w:eastAsia="Arial" w:cs="Arial" w:ascii="Arial" w:hAnsi="Arial"/>
          <w:color w:val="000000"/>
        </w:rPr>
        <w:fldChar w:fldCharType="end"/>
      </w:r>
      <w:r>
        <w:rPr>
          <w:rFonts w:eastAsia="Arial" w:cs="Arial" w:ascii="Arial" w:hAnsi="Arial"/>
          <w:color w:val="000000"/>
          <w:sz w:val="21"/>
          <w:szCs w:val="21"/>
        </w:rPr>
        <w:t>);</w:t>
      </w:r>
    </w:p>
    <w:p>
      <w:pPr>
        <w:pStyle w:val="Normal"/>
        <w:numPr>
          <w:ilvl w:val="0"/>
          <w:numId w:val="0"/>
        </w:numPr>
        <w:spacing w:lineRule="auto" w:line="276" w:before="120" w:after="120"/>
        <w:ind w:left="0" w:hanging="0"/>
        <w:contextualSpacing/>
        <w:jc w:val="both"/>
        <w:rPr>
          <w:color w:val="000000"/>
        </w:rPr>
      </w:pPr>
      <w:r>
        <w:rPr>
          <w:rFonts w:eastAsia="Arial" w:cs="Arial" w:ascii="Arial" w:hAnsi="Arial"/>
          <w:b/>
          <w:bCs/>
          <w:color w:val="000000"/>
          <w:sz w:val="21"/>
          <w:szCs w:val="21"/>
        </w:rPr>
        <w:t>Multa:</w:t>
      </w:r>
    </w:p>
    <w:p>
      <w:pPr>
        <w:pStyle w:val="Normal"/>
        <w:numPr>
          <w:ilvl w:val="0"/>
          <w:numId w:val="0"/>
        </w:numPr>
        <w:spacing w:lineRule="auto" w:line="276" w:before="120" w:after="120"/>
        <w:ind w:left="0" w:hanging="0"/>
        <w:contextualSpacing/>
        <w:jc w:val="both"/>
        <w:rPr>
          <w:rFonts w:ascii="Arial" w:hAnsi="Arial"/>
          <w:sz w:val="21"/>
          <w:szCs w:val="21"/>
        </w:rPr>
      </w:pPr>
      <w:r>
        <w:rPr>
          <w:rFonts w:eastAsia="Arial" w:cs="Arial" w:ascii="Arial" w:hAnsi="Arial"/>
          <w:color w:val="000000"/>
          <w:sz w:val="21"/>
          <w:szCs w:val="21"/>
        </w:rPr>
        <w:t>i) Moratória de 0,3% (zero vírgula três por cento) por dia de atraso injustificado sobre o valor da parcela inadimplida, limitada a incidência de 30% (trinta por cento). Após o 30º (trigésimo) dia e a critério da Administração, no caso de execução com atraso, poderá ocorrer a não aceitação do objeto, de forma a configur</w:t>
      </w:r>
      <w:r>
        <w:rPr>
          <w:rFonts w:eastAsia="Arial" w:cs="Arial" w:ascii="Arial" w:hAnsi="Arial"/>
          <w:sz w:val="21"/>
          <w:szCs w:val="21"/>
        </w:rPr>
        <w:t xml:space="preserve">ar, nessa hipótese, inexecução total da obrigação assumida, sem prejuízo da rescisão unilateral da avença; a partir do 31º (trigésimo primeiro) será cabível a </w:t>
      </w:r>
      <w:r>
        <w:rPr>
          <w:rFonts w:eastAsia="Arial" w:cs="Arial" w:ascii="Arial" w:hAnsi="Arial"/>
          <w:i w:val="false"/>
          <w:iCs w:val="false"/>
          <w:color w:val="000000"/>
          <w:sz w:val="21"/>
          <w:szCs w:val="21"/>
          <w:shd w:fill="FFFFFF" w:val="clear"/>
        </w:rPr>
        <w:t>multa compensatória.;</w:t>
      </w:r>
    </w:p>
    <w:p>
      <w:pPr>
        <w:pStyle w:val="Normal"/>
        <w:numPr>
          <w:ilvl w:val="0"/>
          <w:numId w:val="0"/>
        </w:numPr>
        <w:spacing w:lineRule="auto" w:line="276" w:before="120" w:after="120"/>
        <w:ind w:left="0" w:hanging="0"/>
        <w:contextualSpacing/>
        <w:jc w:val="both"/>
        <w:rPr>
          <w:i w:val="false"/>
          <w:i w:val="false"/>
          <w:iCs w:val="false"/>
          <w:color w:val="000000"/>
          <w:shd w:fill="FFFFFF" w:val="clear"/>
        </w:rPr>
      </w:pPr>
      <w:r>
        <w:rPr>
          <w:rFonts w:eastAsia="Arial" w:cs="Arial" w:ascii="Arial" w:hAnsi="Arial"/>
          <w:i w:val="false"/>
          <w:iCs w:val="false"/>
          <w:color w:val="000000"/>
          <w:sz w:val="21"/>
          <w:szCs w:val="21"/>
          <w:shd w:fill="FFFFFF" w:val="clear"/>
        </w:rPr>
        <w:t xml:space="preserve">ii) Moratória de 0,5% (zero vírgula cinco por cento) por dia de atraso injustificado sobre o valor total do contrato, até o máximo de 2,0% (dois por cento), pela inobservância do prazo fixado para apresentação, suplementação ou reposição da garantia; </w:t>
      </w:r>
    </w:p>
    <w:p>
      <w:pPr>
        <w:pStyle w:val="Normal"/>
        <w:numPr>
          <w:ilvl w:val="0"/>
          <w:numId w:val="0"/>
        </w:numPr>
        <w:spacing w:lineRule="auto" w:line="276" w:before="120" w:after="120"/>
        <w:ind w:left="0" w:hanging="0"/>
        <w:contextualSpacing/>
        <w:jc w:val="both"/>
        <w:rPr>
          <w:i w:val="false"/>
          <w:i w:val="false"/>
          <w:iCs w:val="false"/>
          <w:color w:val="000000"/>
          <w:shd w:fill="FFFFFF" w:val="clear"/>
        </w:rPr>
      </w:pPr>
      <w:r>
        <w:rPr>
          <w:rFonts w:eastAsia="Arial" w:cs="Arial" w:ascii="Arial" w:hAnsi="Arial"/>
          <w:i w:val="false"/>
          <w:iCs w:val="false"/>
          <w:color w:val="000000"/>
          <w:sz w:val="21"/>
          <w:szCs w:val="21"/>
          <w:shd w:fill="FFFFFF" w:val="clear"/>
        </w:rPr>
        <w:t xml:space="preserve">iii) </w:t>
      </w:r>
      <w:commentRangeStart w:id="82"/>
      <w:r>
        <w:rPr>
          <w:rFonts w:eastAsia="Arial" w:cs="Arial" w:ascii="Arial" w:hAnsi="Arial"/>
          <w:i w:val="false"/>
          <w:iCs w:val="false"/>
          <w:color w:val="000000"/>
          <w:sz w:val="21"/>
          <w:szCs w:val="21"/>
          <w:shd w:fill="FFFFFF" w:val="clear"/>
        </w:rPr>
        <w:t xml:space="preserve">Compensatória, para as infrações descritas nas alíneas “e” a “h” do subitem 12.1, de 15% a 30% do valor do </w:t>
      </w:r>
      <w:commentRangeStart w:id="83"/>
      <w:r>
        <w:rPr>
          <w:rFonts w:eastAsia="Arial" w:cs="Arial" w:ascii="Arial" w:hAnsi="Arial"/>
          <w:i w:val="false"/>
          <w:iCs w:val="false"/>
          <w:color w:val="000000"/>
          <w:sz w:val="21"/>
          <w:szCs w:val="21"/>
          <w:shd w:fill="FFFFFF" w:val="clear"/>
        </w:rPr>
        <w:t>Contrato</w:t>
      </w:r>
      <w:r>
        <w:rPr>
          <w:rFonts w:eastAsia="Arial" w:cs="Arial" w:ascii="Arial" w:hAnsi="Arial"/>
          <w:i w:val="false"/>
          <w:iCs w:val="false"/>
          <w:color w:val="000000"/>
          <w:sz w:val="21"/>
          <w:szCs w:val="21"/>
          <w:shd w:fill="FFFFFF" w:val="clear"/>
        </w:rPr>
      </w:r>
      <w:commentRangeEnd w:id="83"/>
      <w:r>
        <w:commentReference w:id="83"/>
      </w:r>
      <w:r>
        <w:rPr>
          <w:rFonts w:eastAsia="Arial" w:cs="Arial" w:ascii="Arial" w:hAnsi="Arial"/>
          <w:i w:val="false"/>
          <w:iCs w:val="false"/>
          <w:color w:val="000000"/>
          <w:sz w:val="21"/>
          <w:szCs w:val="21"/>
          <w:shd w:fill="FFFFFF" w:val="clear"/>
        </w:rPr>
        <w:t>;</w:t>
      </w:r>
    </w:p>
    <w:p>
      <w:pPr>
        <w:pStyle w:val="Normal"/>
        <w:numPr>
          <w:ilvl w:val="0"/>
          <w:numId w:val="0"/>
        </w:numPr>
        <w:spacing w:lineRule="auto" w:line="276" w:before="120" w:after="120"/>
        <w:ind w:left="0" w:hanging="0"/>
        <w:contextualSpacing/>
        <w:jc w:val="both"/>
        <w:rPr>
          <w:i w:val="false"/>
          <w:i w:val="false"/>
          <w:iCs w:val="false"/>
          <w:color w:val="000000"/>
          <w:shd w:fill="FFFFFF" w:val="clear"/>
        </w:rPr>
      </w:pPr>
      <w:r>
        <w:rPr>
          <w:rFonts w:eastAsia="Arial" w:cs="Arial" w:ascii="Arial" w:hAnsi="Arial"/>
          <w:i w:val="false"/>
          <w:iCs w:val="false"/>
          <w:color w:val="000000"/>
          <w:sz w:val="21"/>
          <w:szCs w:val="21"/>
          <w:shd w:fill="FFFFFF" w:val="clear"/>
        </w:rPr>
        <w:t xml:space="preserve">iv) Compensatória, para a inexecução total do contrato prevista na alínea “c” do subitem 12.1, de 15% a 30%  do valor do Contrato; </w:t>
      </w:r>
    </w:p>
    <w:p>
      <w:pPr>
        <w:pStyle w:val="Normal"/>
        <w:numPr>
          <w:ilvl w:val="0"/>
          <w:numId w:val="0"/>
        </w:numPr>
        <w:spacing w:lineRule="auto" w:line="276" w:before="120" w:after="120"/>
        <w:ind w:left="0" w:hanging="0"/>
        <w:contextualSpacing/>
        <w:jc w:val="both"/>
        <w:rPr>
          <w:i w:val="false"/>
          <w:i w:val="false"/>
          <w:iCs w:val="false"/>
          <w:color w:val="000000"/>
          <w:shd w:fill="FFFFFF" w:val="clear"/>
        </w:rPr>
      </w:pPr>
      <w:r>
        <w:rPr>
          <w:rFonts w:eastAsia="Arial" w:cs="Arial" w:ascii="Arial" w:hAnsi="Arial"/>
          <w:i w:val="false"/>
          <w:iCs w:val="false"/>
          <w:color w:val="000000"/>
          <w:sz w:val="21"/>
          <w:szCs w:val="21"/>
          <w:shd w:fill="FFFFFF" w:val="clear"/>
        </w:rPr>
        <w:t>v) Para infração descrita na alínea “b” do subitem 12.1, a multa será de 5% a 15%  do valor do Contrato;</w:t>
      </w:r>
    </w:p>
    <w:p>
      <w:pPr>
        <w:pStyle w:val="Normal"/>
        <w:numPr>
          <w:ilvl w:val="0"/>
          <w:numId w:val="0"/>
        </w:numPr>
        <w:spacing w:lineRule="auto" w:line="276" w:before="120" w:after="120"/>
        <w:ind w:left="0" w:hanging="0"/>
        <w:contextualSpacing/>
        <w:jc w:val="both"/>
        <w:rPr>
          <w:color w:val="000000"/>
        </w:rPr>
      </w:pPr>
      <w:r>
        <w:rPr>
          <w:rFonts w:eastAsia="Arial" w:cs="Arial" w:ascii="Arial" w:hAnsi="Arial"/>
          <w:i w:val="false"/>
          <w:iCs w:val="false"/>
          <w:color w:val="000000"/>
          <w:sz w:val="21"/>
          <w:szCs w:val="21"/>
          <w:shd w:fill="FFFFFF" w:val="clear"/>
        </w:rPr>
        <w:t>vi) Para infrações descritas na alínea “d” do subitem 12.1, a multa será de 5% a 15%  do valor do Contrato;</w:t>
      </w:r>
    </w:p>
    <w:p>
      <w:pPr>
        <w:pStyle w:val="Normal"/>
        <w:numPr>
          <w:ilvl w:val="0"/>
          <w:numId w:val="0"/>
        </w:numPr>
        <w:spacing w:lineRule="auto" w:line="276" w:before="120" w:after="120"/>
        <w:ind w:left="0" w:hanging="0"/>
        <w:contextualSpacing/>
        <w:jc w:val="both"/>
        <w:rPr>
          <w:i w:val="false"/>
          <w:i w:val="false"/>
          <w:iCs w:val="false"/>
          <w:color w:val="000000"/>
          <w:shd w:fill="FFFFFF" w:val="clear"/>
        </w:rPr>
      </w:pPr>
      <w:r>
        <w:rPr>
          <w:rFonts w:eastAsia="Arial" w:cs="Arial" w:ascii="Arial" w:hAnsi="Arial"/>
          <w:i w:val="false"/>
          <w:iCs w:val="false"/>
          <w:color w:val="000000"/>
          <w:sz w:val="21"/>
          <w:szCs w:val="21"/>
          <w:shd w:fill="FFFFFF" w:val="clear"/>
        </w:rPr>
        <w:t>vii) Para a infração descrita na alínea “a” do subitem 12.1, a multa será de 5% a 15% do valor do Contrato.</w:t>
      </w:r>
      <w:commentRangeEnd w:id="82"/>
      <w:r>
        <w:commentReference w:id="82"/>
      </w:r>
      <w:r>
        <w:rPr>
          <w:rFonts w:eastAsia="Arial" w:cs="Arial" w:ascii="Arial" w:hAnsi="Arial"/>
          <w:i w:val="false"/>
          <w:iCs w:val="false"/>
          <w:color w:val="000000"/>
          <w:sz w:val="21"/>
          <w:szCs w:val="21"/>
          <w:shd w:fill="FFFFFF" w:val="clear"/>
        </w:rPr>
      </w:r>
    </w:p>
    <w:p>
      <w:pPr>
        <w:pStyle w:val="Nivel2"/>
        <w:numPr>
          <w:ilvl w:val="1"/>
          <w:numId w:val="319"/>
        </w:numPr>
        <w:ind w:left="0" w:firstLine="624"/>
        <w:rPr/>
      </w:pPr>
      <w:r>
        <w:rPr>
          <w:color w:val="000000"/>
          <w:szCs w:val="21"/>
        </w:rPr>
        <w:t>A aplicação das sanções previstas neste Contrato não exclui, em hipótese alguma, a obrigação de reparação integral do dano causado ao Contratante (</w:t>
      </w:r>
      <w:r>
        <w:fldChar w:fldCharType="begin"/>
      </w:r>
      <w:r>
        <w:rPr>
          <w:rStyle w:val="LinkdaInternet"/>
          <w:szCs w:val="21"/>
          <w:color w:val="000000"/>
        </w:rPr>
        <w:instrText> HYPERLINK "http://www.planalto.gov.br/ccivil_03/_ato2019-2022/2021/lei/L14133.htm" \l "art156§9"</w:instrText>
      </w:r>
      <w:r>
        <w:rPr>
          <w:rStyle w:val="LinkdaInternet"/>
          <w:szCs w:val="21"/>
          <w:color w:val="000000"/>
        </w:rPr>
        <w:fldChar w:fldCharType="separate"/>
      </w:r>
      <w:r>
        <w:rPr>
          <w:rStyle w:val="LinkdaInternet"/>
          <w:color w:val="000000"/>
          <w:szCs w:val="21"/>
        </w:rPr>
        <w:t>art. 156, §9º, da Lei nº 14.133, de 2021</w:t>
      </w:r>
      <w:r>
        <w:rPr>
          <w:rStyle w:val="LinkdaInternet"/>
          <w:szCs w:val="21"/>
          <w:color w:val="000000"/>
        </w:rPr>
        <w:fldChar w:fldCharType="end"/>
      </w:r>
      <w:r>
        <w:rPr>
          <w:color w:val="000000"/>
          <w:szCs w:val="21"/>
        </w:rPr>
        <w:t>).</w:t>
      </w:r>
    </w:p>
    <w:p>
      <w:pPr>
        <w:pStyle w:val="Nivel2"/>
        <w:numPr>
          <w:ilvl w:val="1"/>
          <w:numId w:val="320"/>
        </w:numPr>
        <w:ind w:left="0" w:firstLine="624"/>
        <w:rPr/>
      </w:pPr>
      <w:r>
        <w:rPr>
          <w:color w:val="000000"/>
          <w:szCs w:val="21"/>
        </w:rPr>
        <w:t>Todas as sanções previstas neste Contrato poderão ser aplicadas cumulativamente com a multa (</w:t>
      </w:r>
      <w:r>
        <w:fldChar w:fldCharType="begin"/>
      </w:r>
      <w:r>
        <w:rPr>
          <w:rStyle w:val="LinkdaInternet"/>
          <w:szCs w:val="21"/>
          <w:color w:val="000000"/>
        </w:rPr>
        <w:instrText> HYPERLINK "http://www.planalto.gov.br/ccivil_03/_ato2019-2022/2021/lei/L14133.htm" \l "art156§7"</w:instrText>
      </w:r>
      <w:r>
        <w:rPr>
          <w:rStyle w:val="LinkdaInternet"/>
          <w:szCs w:val="21"/>
          <w:color w:val="000000"/>
        </w:rPr>
        <w:fldChar w:fldCharType="separate"/>
      </w:r>
      <w:r>
        <w:rPr>
          <w:rStyle w:val="LinkdaInternet"/>
          <w:color w:val="000000"/>
          <w:szCs w:val="21"/>
        </w:rPr>
        <w:t>art. 156, §7º, da Lei nº 14.133, de 2021</w:t>
      </w:r>
      <w:r>
        <w:rPr>
          <w:rStyle w:val="LinkdaInternet"/>
          <w:szCs w:val="21"/>
          <w:color w:val="000000"/>
        </w:rPr>
        <w:fldChar w:fldCharType="end"/>
      </w:r>
      <w:r>
        <w:rPr>
          <w:color w:val="000000"/>
          <w:szCs w:val="21"/>
        </w:rPr>
        <w:t>).</w:t>
      </w:r>
    </w:p>
    <w:p>
      <w:pPr>
        <w:pStyle w:val="Nivel3"/>
        <w:numPr>
          <w:ilvl w:val="2"/>
          <w:numId w:val="321"/>
        </w:numPr>
        <w:ind w:left="1077" w:hanging="0"/>
        <w:rPr/>
      </w:pPr>
      <w:r>
        <w:rPr>
          <w:color w:val="000000"/>
          <w:sz w:val="21"/>
          <w:szCs w:val="21"/>
        </w:rPr>
        <w:t>Antes da aplicação da multa será facultada a defesa do interessado no prazo de 15 (quinze) dias úteis, contado da data de sua intimação (</w:t>
      </w:r>
      <w:r>
        <w:fldChar w:fldCharType="begin"/>
      </w:r>
      <w:r>
        <w:rPr>
          <w:rStyle w:val="LinkdaInternet"/>
          <w:sz w:val="21"/>
          <w:szCs w:val="21"/>
          <w:color w:val="000000"/>
        </w:rPr>
        <w:instrText> HYPERLINK "http://www.planalto.gov.br/ccivil_03/_ato2019-2022/2021/lei/L14133.htm" \l "art157"</w:instrText>
      </w:r>
      <w:r>
        <w:rPr>
          <w:rStyle w:val="LinkdaInternet"/>
          <w:sz w:val="21"/>
          <w:szCs w:val="21"/>
          <w:color w:val="000000"/>
        </w:rPr>
        <w:fldChar w:fldCharType="separate"/>
      </w:r>
      <w:r>
        <w:rPr>
          <w:rStyle w:val="LinkdaInternet"/>
          <w:color w:val="000000"/>
          <w:sz w:val="21"/>
          <w:szCs w:val="21"/>
        </w:rPr>
        <w:t>art. 157, da Lei nº 14.133, de 2021</w:t>
      </w:r>
      <w:r>
        <w:rPr>
          <w:rStyle w:val="LinkdaInternet"/>
          <w:sz w:val="21"/>
          <w:szCs w:val="21"/>
          <w:color w:val="000000"/>
        </w:rPr>
        <w:fldChar w:fldCharType="end"/>
      </w:r>
      <w:r>
        <w:rPr>
          <w:color w:val="000000"/>
          <w:sz w:val="21"/>
          <w:szCs w:val="21"/>
        </w:rPr>
        <w:t>).</w:t>
      </w:r>
    </w:p>
    <w:p>
      <w:pPr>
        <w:pStyle w:val="Nivel2"/>
        <w:numPr>
          <w:ilvl w:val="1"/>
          <w:numId w:val="322"/>
        </w:numPr>
        <w:ind w:left="0" w:firstLine="624"/>
        <w:rPr/>
      </w:pPr>
      <w:r>
        <w:rPr>
          <w:color w:val="000000"/>
          <w:szCs w:val="21"/>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Cs w:val="21"/>
          <w:color w:val="000000"/>
        </w:rPr>
        <w:instrText> HYPERLINK "http://www.planalto.gov.br/ccivil_03/_ato2019-2022/2021/lei/L14133.htm" \l "art156§8"</w:instrText>
      </w:r>
      <w:r>
        <w:rPr>
          <w:rStyle w:val="LinkdaInternet"/>
          <w:szCs w:val="21"/>
          <w:color w:val="000000"/>
        </w:rPr>
        <w:fldChar w:fldCharType="separate"/>
      </w:r>
      <w:r>
        <w:rPr>
          <w:rStyle w:val="LinkdaInternet"/>
          <w:color w:val="000000"/>
          <w:szCs w:val="21"/>
        </w:rPr>
        <w:t>art. 156, §8º, da Lei nº 14.133, de 2021</w:t>
      </w:r>
      <w:r>
        <w:rPr>
          <w:rStyle w:val="LinkdaInternet"/>
          <w:szCs w:val="21"/>
          <w:color w:val="000000"/>
        </w:rPr>
        <w:fldChar w:fldCharType="end"/>
      </w:r>
      <w:r>
        <w:rPr>
          <w:color w:val="000000"/>
          <w:szCs w:val="21"/>
        </w:rPr>
        <w:t>).</w:t>
      </w:r>
    </w:p>
    <w:p>
      <w:pPr>
        <w:pStyle w:val="Nivel2"/>
        <w:numPr>
          <w:ilvl w:val="1"/>
          <w:numId w:val="323"/>
        </w:numPr>
        <w:ind w:left="0" w:firstLine="624"/>
        <w:rPr>
          <w:color w:val="000000"/>
        </w:rPr>
      </w:pPr>
      <w:r>
        <w:rPr>
          <w:color w:val="000000"/>
          <w:szCs w:val="21"/>
        </w:rPr>
        <w:t xml:space="preserve">Previamente ao encaminhamento à cobrança judicial, a multa poderá ser recolhida administrativamente no prazo máximo de </w:t>
      </w:r>
      <w:r>
        <w:rPr>
          <w:i/>
          <w:iCs/>
          <w:color w:val="000000"/>
          <w:szCs w:val="21"/>
        </w:rPr>
        <w:t xml:space="preserve">30 (trinta) </w:t>
      </w:r>
      <w:r>
        <w:rPr>
          <w:color w:val="000000"/>
          <w:szCs w:val="21"/>
        </w:rPr>
        <w:t>dias, a contar da data do recebimento da comunicação enviada pela autoridade competente.</w:t>
      </w:r>
      <w:bookmarkStart w:id="77" w:name="_Hlk78351618"/>
      <w:bookmarkEnd w:id="77"/>
    </w:p>
    <w:p>
      <w:pPr>
        <w:pStyle w:val="Nivel2"/>
        <w:numPr>
          <w:ilvl w:val="1"/>
          <w:numId w:val="324"/>
        </w:numPr>
        <w:ind w:left="0" w:firstLine="624"/>
        <w:rPr/>
      </w:pPr>
      <w:r>
        <w:rPr>
          <w:color w:val="000000"/>
          <w:szCs w:val="21"/>
        </w:rPr>
        <w:t xml:space="preserve">A aplicação das sanções realizar-se-á em processo administrativo que assegure o contraditório e a ampla defesa ao Contratado, observando-se o procedimento previsto no </w:t>
      </w:r>
      <w:r>
        <w:rPr>
          <w:b/>
          <w:bCs/>
          <w:color w:val="000000"/>
          <w:szCs w:val="21"/>
        </w:rPr>
        <w:t xml:space="preserve">caput </w:t>
      </w:r>
      <w:r>
        <w:rPr>
          <w:color w:val="000000"/>
          <w:szCs w:val="21"/>
        </w:rPr>
        <w:t xml:space="preserve">e parágrafos do </w:t>
      </w:r>
      <w:r>
        <w:fldChar w:fldCharType="begin"/>
      </w:r>
      <w:r>
        <w:rPr>
          <w:rStyle w:val="LinkdaInternet"/>
          <w:szCs w:val="21"/>
          <w:color w:val="000000"/>
        </w:rPr>
        <w:instrText> HYPERLINK "http://www.planalto.gov.br/ccivil_03/_ato2019-2022/2021/lei/L14133.htm" \l "art158"</w:instrText>
      </w:r>
      <w:r>
        <w:rPr>
          <w:rStyle w:val="LinkdaInternet"/>
          <w:szCs w:val="21"/>
          <w:color w:val="000000"/>
        </w:rPr>
        <w:fldChar w:fldCharType="separate"/>
      </w:r>
      <w:r>
        <w:rPr>
          <w:rStyle w:val="LinkdaInternet"/>
          <w:color w:val="000000"/>
          <w:szCs w:val="21"/>
        </w:rPr>
        <w:t>art. 158 da Lei nº 14.133, de 2021</w:t>
      </w:r>
      <w:r>
        <w:rPr>
          <w:rStyle w:val="LinkdaInternet"/>
          <w:szCs w:val="21"/>
          <w:color w:val="000000"/>
        </w:rPr>
        <w:fldChar w:fldCharType="end"/>
      </w:r>
      <w:r>
        <w:rPr>
          <w:color w:val="000000"/>
          <w:szCs w:val="21"/>
        </w:rPr>
        <w:t>, para as penalidades de impedimento de licitar e contratar e de declaração de inidoneidade para licitar ou contratar.</w:t>
      </w:r>
    </w:p>
    <w:p>
      <w:pPr>
        <w:pStyle w:val="Nivel2"/>
        <w:numPr>
          <w:ilvl w:val="1"/>
          <w:numId w:val="325"/>
        </w:numPr>
        <w:ind w:left="0" w:firstLine="624"/>
        <w:rPr/>
      </w:pPr>
      <w:r>
        <w:rPr>
          <w:color w:val="000000"/>
          <w:szCs w:val="21"/>
        </w:rPr>
        <w:t>Na aplicação das sanções serão considerados (</w:t>
      </w:r>
      <w:r>
        <w:fldChar w:fldCharType="begin"/>
      </w:r>
      <w:r>
        <w:rPr>
          <w:rStyle w:val="LinkdaInternet"/>
          <w:szCs w:val="21"/>
          <w:color w:val="000000"/>
        </w:rPr>
        <w:instrText> HYPERLINK "http://www.planalto.gov.br/ccivil_03/_ato2019-2022/2021/lei/L14133.htm" \l "art156§1"</w:instrText>
      </w:r>
      <w:r>
        <w:rPr>
          <w:rStyle w:val="LinkdaInternet"/>
          <w:szCs w:val="21"/>
          <w:color w:val="000000"/>
        </w:rPr>
        <w:fldChar w:fldCharType="separate"/>
      </w:r>
      <w:r>
        <w:rPr>
          <w:rStyle w:val="LinkdaInternet"/>
          <w:color w:val="000000"/>
          <w:szCs w:val="21"/>
        </w:rPr>
        <w:t>art. 156, §1º, da Lei nº 14.133, de 2021</w:t>
      </w:r>
      <w:r>
        <w:rPr>
          <w:rStyle w:val="LinkdaInternet"/>
          <w:szCs w:val="21"/>
          <w:color w:val="000000"/>
        </w:rPr>
        <w:fldChar w:fldCharType="end"/>
      </w:r>
      <w:r>
        <w:rPr>
          <w:color w:val="000000"/>
          <w:szCs w:val="21"/>
        </w:rPr>
        <w:t>):</w:t>
      </w:r>
    </w:p>
    <w:p>
      <w:pPr>
        <w:pStyle w:val="Normal"/>
        <w:numPr>
          <w:ilvl w:val="0"/>
          <w:numId w:val="0"/>
        </w:numPr>
        <w:spacing w:lineRule="auto" w:line="276" w:before="120" w:after="120"/>
        <w:ind w:left="2913" w:hanging="0"/>
        <w:contextualSpacing/>
        <w:jc w:val="both"/>
        <w:rPr>
          <w:color w:val="000000"/>
        </w:rPr>
      </w:pPr>
      <w:r>
        <w:rPr>
          <w:rFonts w:eastAsia="Arial" w:cs="Arial" w:ascii="Arial" w:hAnsi="Arial"/>
          <w:color w:val="000000"/>
          <w:sz w:val="21"/>
          <w:szCs w:val="21"/>
        </w:rPr>
        <w:t>a) a natureza e a gravidade da infração cometida;</w:t>
      </w:r>
    </w:p>
    <w:p>
      <w:pPr>
        <w:pStyle w:val="Normal"/>
        <w:numPr>
          <w:ilvl w:val="0"/>
          <w:numId w:val="0"/>
        </w:numPr>
        <w:spacing w:lineRule="auto" w:line="276" w:before="120" w:after="120"/>
        <w:ind w:left="2913" w:hanging="0"/>
        <w:contextualSpacing/>
        <w:jc w:val="both"/>
        <w:rPr>
          <w:rFonts w:ascii="Arial" w:hAnsi="Arial"/>
          <w:sz w:val="21"/>
          <w:szCs w:val="21"/>
        </w:rPr>
      </w:pPr>
      <w:r>
        <w:rPr>
          <w:rFonts w:eastAsia="Arial" w:cs="Arial" w:ascii="Arial" w:hAnsi="Arial"/>
          <w:sz w:val="21"/>
          <w:szCs w:val="21"/>
        </w:rPr>
        <w:t>b) as peculiaridades do caso concreto;</w:t>
      </w:r>
    </w:p>
    <w:p>
      <w:pPr>
        <w:pStyle w:val="Normal"/>
        <w:numPr>
          <w:ilvl w:val="0"/>
          <w:numId w:val="0"/>
        </w:numPr>
        <w:spacing w:lineRule="auto" w:line="276" w:before="120" w:after="120"/>
        <w:ind w:left="2913" w:hanging="0"/>
        <w:contextualSpacing/>
        <w:jc w:val="both"/>
        <w:rPr>
          <w:rFonts w:ascii="Arial" w:hAnsi="Arial"/>
          <w:sz w:val="21"/>
          <w:szCs w:val="21"/>
        </w:rPr>
      </w:pPr>
      <w:r>
        <w:rPr>
          <w:rFonts w:eastAsia="Arial" w:cs="Arial" w:ascii="Arial" w:hAnsi="Arial"/>
          <w:sz w:val="21"/>
          <w:szCs w:val="21"/>
        </w:rPr>
        <w:t>c) as circunstâncias agravantes ou atenuantes;</w:t>
      </w:r>
    </w:p>
    <w:p>
      <w:pPr>
        <w:pStyle w:val="Normal"/>
        <w:numPr>
          <w:ilvl w:val="0"/>
          <w:numId w:val="0"/>
        </w:numPr>
        <w:spacing w:lineRule="auto" w:line="276" w:before="120" w:after="120"/>
        <w:ind w:left="2913" w:hanging="0"/>
        <w:contextualSpacing/>
        <w:jc w:val="both"/>
        <w:rPr>
          <w:rFonts w:ascii="Arial" w:hAnsi="Arial"/>
          <w:sz w:val="21"/>
          <w:szCs w:val="21"/>
        </w:rPr>
      </w:pPr>
      <w:r>
        <w:rPr>
          <w:rFonts w:eastAsia="Arial" w:cs="Arial" w:ascii="Arial" w:hAnsi="Arial"/>
          <w:sz w:val="21"/>
          <w:szCs w:val="21"/>
        </w:rPr>
        <w:t>d) os danos que dela provierem para o Contratante;</w:t>
      </w:r>
    </w:p>
    <w:p>
      <w:pPr>
        <w:pStyle w:val="Normal"/>
        <w:numPr>
          <w:ilvl w:val="0"/>
          <w:numId w:val="0"/>
        </w:numPr>
        <w:spacing w:lineRule="auto" w:line="276" w:before="120" w:after="120"/>
        <w:ind w:left="2913" w:hanging="0"/>
        <w:contextualSpacing/>
        <w:jc w:val="both"/>
        <w:rPr>
          <w:rFonts w:ascii="Arial" w:hAnsi="Arial"/>
          <w:sz w:val="21"/>
          <w:szCs w:val="21"/>
        </w:rPr>
      </w:pPr>
      <w:r>
        <w:rPr>
          <w:rFonts w:eastAsia="Arial" w:cs="Arial" w:ascii="Arial" w:hAnsi="Arial"/>
          <w:sz w:val="21"/>
          <w:szCs w:val="21"/>
        </w:rPr>
        <w:t xml:space="preserve">e) a implantação ou o aperfeiçoamento de programa de integridade, conforme normas e orientações dos órgãos </w:t>
      </w:r>
      <w:r>
        <w:rPr>
          <w:rFonts w:eastAsia="Arial" w:cs="Arial" w:ascii="Arial" w:hAnsi="Arial"/>
          <w:color w:val="000000"/>
          <w:sz w:val="21"/>
          <w:szCs w:val="21"/>
        </w:rPr>
        <w:t>de controle.</w:t>
      </w:r>
    </w:p>
    <w:p>
      <w:pPr>
        <w:pStyle w:val="Nivel2"/>
        <w:numPr>
          <w:ilvl w:val="1"/>
          <w:numId w:val="326"/>
        </w:numPr>
        <w:ind w:left="0" w:firstLine="624"/>
        <w:rPr/>
      </w:pPr>
      <w:r>
        <w:rPr>
          <w:color w:val="000000"/>
          <w:szCs w:val="21"/>
        </w:rPr>
        <w:t xml:space="preserve">Os atos previstos como infrações administrativas na </w:t>
      </w:r>
      <w:hyperlink r:id="rId39">
        <w:r>
          <w:rPr>
            <w:rStyle w:val="LinkdaInternet"/>
            <w:color w:val="000000"/>
            <w:szCs w:val="21"/>
          </w:rPr>
          <w:t>Lei nº 14.133, de 2021</w:t>
        </w:r>
      </w:hyperlink>
      <w:r>
        <w:rPr>
          <w:color w:val="000000"/>
          <w:szCs w:val="21"/>
        </w:rPr>
        <w:t xml:space="preserve">, ou em outras leis de licitações e contratos da Administração Pública que também sejam tipificados como atos lesivos </w:t>
      </w:r>
      <w:hyperlink r:id="rId40">
        <w:r>
          <w:rPr>
            <w:rStyle w:val="LinkdaInternet"/>
            <w:color w:val="000000"/>
            <w:szCs w:val="21"/>
          </w:rPr>
          <w:t>na Lei nº 12.846, de 2013</w:t>
        </w:r>
      </w:hyperlink>
      <w:r>
        <w:rPr>
          <w:color w:val="000000"/>
          <w:szCs w:val="21"/>
        </w:rPr>
        <w:t xml:space="preserve">, serão apurados e julgados conjuntamente, nos mesmos autos, observados o rito procedimental e autoridade competente definidos na referida </w:t>
      </w:r>
      <w:r>
        <w:fldChar w:fldCharType="begin"/>
      </w:r>
      <w:r>
        <w:rPr>
          <w:rStyle w:val="LinkdaInternet"/>
          <w:szCs w:val="21"/>
          <w:color w:val="000000"/>
        </w:rPr>
        <w:instrText> HYPERLINK "http://www.planalto.gov.br/ccivil_03/_ato2019-2022/2021/lei/L14133.htm" \l "art159"</w:instrText>
      </w:r>
      <w:r>
        <w:rPr>
          <w:rStyle w:val="LinkdaInternet"/>
          <w:szCs w:val="21"/>
          <w:color w:val="000000"/>
        </w:rPr>
        <w:fldChar w:fldCharType="separate"/>
      </w:r>
      <w:r>
        <w:rPr>
          <w:rStyle w:val="LinkdaInternet"/>
          <w:color w:val="000000"/>
          <w:szCs w:val="21"/>
        </w:rPr>
        <w:t>Lei (art. 159</w:t>
      </w:r>
      <w:r>
        <w:rPr>
          <w:rStyle w:val="LinkdaInternet"/>
          <w:szCs w:val="21"/>
          <w:color w:val="000000"/>
        </w:rPr>
        <w:fldChar w:fldCharType="end"/>
      </w:r>
      <w:r>
        <w:rPr>
          <w:color w:val="000000"/>
          <w:szCs w:val="21"/>
        </w:rPr>
        <w:t>).</w:t>
      </w:r>
    </w:p>
    <w:p>
      <w:pPr>
        <w:pStyle w:val="Nivel2"/>
        <w:numPr>
          <w:ilvl w:val="1"/>
          <w:numId w:val="327"/>
        </w:numPr>
        <w:ind w:left="0" w:firstLine="624"/>
        <w:rPr/>
      </w:pPr>
      <w:r>
        <w:rPr>
          <w:color w:val="000000"/>
          <w:szCs w:val="21"/>
        </w:rPr>
        <w:t>A personalidade jurídica do Contratado poderá ser desconsiderada sempre que utilizada com abuso do direito para facilitar, encobrir ou dissimular a prática dos atos ilícitos previstos neste Contrato ou para provocar confusão patrim</w:t>
      </w:r>
      <w:r>
        <w:rPr>
          <w:szCs w:val="21"/>
        </w:rPr>
        <w:t>onial, e, nesse caso, todos os efeitos das sanções aplicadas à pessoa jurídica serão estendidos aos seus administradores e sócios com poderes de administração, à pe</w:t>
      </w:r>
      <w:r>
        <w:rPr>
          <w:color w:val="000000"/>
          <w:szCs w:val="21"/>
        </w:rPr>
        <w:t>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Cs w:val="21"/>
          <w:color w:val="000000"/>
        </w:rPr>
        <w:instrText> HYPERLINK "http://www.planalto.gov.br/ccivil_03/_ato2019-2022/2021/lei/L14133.htm" \l "art160"</w:instrText>
      </w:r>
      <w:r>
        <w:rPr>
          <w:rStyle w:val="LinkdaInternet"/>
          <w:szCs w:val="21"/>
          <w:color w:val="000000"/>
        </w:rPr>
        <w:fldChar w:fldCharType="separate"/>
      </w:r>
      <w:r>
        <w:rPr>
          <w:rStyle w:val="LinkdaInternet"/>
          <w:color w:val="000000"/>
          <w:szCs w:val="21"/>
        </w:rPr>
        <w:t>art. 160, da Lei nº 14.133, de 2021</w:t>
      </w:r>
      <w:r>
        <w:rPr>
          <w:rStyle w:val="LinkdaInternet"/>
          <w:szCs w:val="21"/>
          <w:color w:val="000000"/>
        </w:rPr>
        <w:fldChar w:fldCharType="end"/>
      </w:r>
      <w:r>
        <w:rPr>
          <w:color w:val="000000"/>
          <w:szCs w:val="21"/>
        </w:rPr>
        <w:t>).</w:t>
      </w:r>
    </w:p>
    <w:p>
      <w:pPr>
        <w:pStyle w:val="Nivel2"/>
        <w:numPr>
          <w:ilvl w:val="1"/>
          <w:numId w:val="328"/>
        </w:numPr>
        <w:ind w:left="0" w:firstLine="624"/>
        <w:rPr>
          <w:color w:val="000000"/>
        </w:rPr>
      </w:pPr>
      <w:r>
        <w:rPr>
          <w:color w:val="000000"/>
          <w:szCs w:val="21"/>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Cs w:val="21"/>
          <w:color w:val="000000"/>
        </w:rPr>
        <w:instrText> HYPERLINK "http://www.planalto.gov.br/ccivil_03/_ato2019-2022/2021/lei/L14133.htm" \l "art161"</w:instrText>
      </w:r>
      <w:r>
        <w:rPr>
          <w:rStyle w:val="LinkdaInternet"/>
          <w:szCs w:val="21"/>
          <w:color w:val="000000"/>
        </w:rPr>
        <w:fldChar w:fldCharType="separate"/>
      </w:r>
      <w:r>
        <w:rPr>
          <w:rStyle w:val="LinkdaInternet"/>
          <w:color w:val="000000"/>
          <w:szCs w:val="21"/>
        </w:rPr>
        <w:t>Art. 161, da Lei nº 14.133, de 2021</w:t>
      </w:r>
      <w:r>
        <w:rPr>
          <w:rStyle w:val="LinkdaInternet"/>
          <w:szCs w:val="21"/>
          <w:color w:val="000000"/>
        </w:rPr>
        <w:fldChar w:fldCharType="end"/>
      </w:r>
      <w:r>
        <w:rPr>
          <w:color w:val="000000"/>
          <w:szCs w:val="21"/>
        </w:rPr>
        <w:t>).</w:t>
      </w:r>
    </w:p>
    <w:p>
      <w:pPr>
        <w:pStyle w:val="Nivel2"/>
        <w:numPr>
          <w:ilvl w:val="1"/>
          <w:numId w:val="329"/>
        </w:numPr>
        <w:ind w:left="0" w:firstLine="624"/>
        <w:rPr/>
      </w:pPr>
      <w:r>
        <w:rPr>
          <w:color w:val="000000"/>
          <w:szCs w:val="21"/>
        </w:rPr>
        <w:t xml:space="preserve">As sanções de impedimento de licitar e contratar e declaração de inidoneidade para licitar ou contratar são passíveis de reabilitação na forma do </w:t>
      </w:r>
      <w:r>
        <w:fldChar w:fldCharType="begin"/>
      </w:r>
      <w:r>
        <w:rPr>
          <w:rStyle w:val="LinkdaInternet"/>
          <w:szCs w:val="21"/>
          <w:color w:val="000000"/>
        </w:rPr>
        <w:instrText> HYPERLINK "http://www.planalto.gov.br/ccivil_03/_ato2019-2022/2021/lei/L14133.htm" \l "art163"</w:instrText>
      </w:r>
      <w:r>
        <w:rPr>
          <w:rStyle w:val="LinkdaInternet"/>
          <w:szCs w:val="21"/>
          <w:color w:val="000000"/>
        </w:rPr>
        <w:fldChar w:fldCharType="separate"/>
      </w:r>
      <w:r>
        <w:rPr>
          <w:rStyle w:val="LinkdaInternet"/>
          <w:color w:val="000000"/>
          <w:szCs w:val="21"/>
        </w:rPr>
        <w:t>art. 163 da Lei nº 14.133/21.</w:t>
      </w:r>
      <w:r>
        <w:rPr>
          <w:rStyle w:val="LinkdaInternet"/>
          <w:szCs w:val="21"/>
          <w:color w:val="000000"/>
        </w:rPr>
        <w:fldChar w:fldCharType="end"/>
      </w:r>
    </w:p>
    <w:p>
      <w:pPr>
        <w:pStyle w:val="Nivel01"/>
        <w:numPr>
          <w:ilvl w:val="0"/>
          <w:numId w:val="330"/>
        </w:numPr>
        <w:ind w:left="0" w:right="0" w:hanging="0"/>
        <w:rPr/>
      </w:pPr>
      <w:commentRangeStart w:id="84"/>
      <w:r>
        <w:rPr>
          <w:sz w:val="21"/>
          <w:szCs w:val="21"/>
        </w:rPr>
        <w:t>CLÁUSULA DÉCIMA TERCEIRA – DA EXTINÇÃO CONTRATUAL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XIX</w:t>
      </w:r>
      <w:r>
        <w:rPr>
          <w:rStyle w:val="LinkdaInternet"/>
          <w:sz w:val="21"/>
          <w:szCs w:val="21"/>
        </w:rPr>
        <w:fldChar w:fldCharType="end"/>
      </w:r>
      <w:r>
        <w:rPr>
          <w:sz w:val="21"/>
          <w:szCs w:val="21"/>
        </w:rPr>
        <w:t>)</w:t>
      </w:r>
      <w:commentRangeEnd w:id="84"/>
      <w:r>
        <w:commentReference w:id="84"/>
      </w:r>
      <w:r>
        <w:rPr>
          <w:sz w:val="21"/>
          <w:szCs w:val="21"/>
        </w:rPr>
      </w:r>
    </w:p>
    <w:p>
      <w:pPr>
        <w:pStyle w:val="Nvel2Red"/>
        <w:tabs>
          <w:tab w:val="clear" w:pos="0"/>
          <w:tab w:val="left" w:pos="1134" w:leader="none"/>
        </w:tabs>
        <w:ind w:left="360" w:hanging="0"/>
        <w:rPr>
          <w:szCs w:val="21"/>
        </w:rPr>
      </w:pPr>
      <w:r>
        <w:rPr>
          <w:szCs w:val="21"/>
        </w:rPr>
      </w:r>
    </w:p>
    <w:p>
      <w:pPr>
        <w:pStyle w:val="Nvel2Red"/>
        <w:numPr>
          <w:ilvl w:val="1"/>
          <w:numId w:val="331"/>
        </w:numPr>
        <w:ind w:left="0" w:firstLine="624"/>
        <w:rPr>
          <w:i w:val="false"/>
          <w:i w:val="false"/>
          <w:iCs w:val="false"/>
          <w:color w:val="000000"/>
          <w:shd w:fill="FFFFFF" w:val="clear"/>
        </w:rPr>
      </w:pPr>
      <w:commentRangeStart w:id="85"/>
      <w:r>
        <w:rPr>
          <w:i w:val="false"/>
          <w:iCs w:val="false"/>
          <w:color w:val="000000"/>
          <w:szCs w:val="21"/>
          <w:shd w:fill="FFFFFF" w:val="clear"/>
        </w:rPr>
        <w:t>O contrato será extinto quando vencido o prazo nele estipulado, independentemente de terem sido cumpridas ou não as obrigações de ambas as partes contraentes.</w:t>
      </w:r>
    </w:p>
    <w:p>
      <w:pPr>
        <w:pStyle w:val="Nvel2Red"/>
        <w:numPr>
          <w:ilvl w:val="1"/>
          <w:numId w:val="332"/>
        </w:numPr>
        <w:ind w:left="0" w:firstLine="624"/>
        <w:rPr>
          <w:i w:val="false"/>
          <w:i w:val="false"/>
          <w:iCs w:val="false"/>
          <w:color w:val="000000"/>
          <w:shd w:fill="FFFFFF" w:val="clear"/>
        </w:rPr>
      </w:pPr>
      <w:r>
        <w:rPr>
          <w:i w:val="false"/>
          <w:iCs w:val="false"/>
          <w:color w:val="000000"/>
          <w:szCs w:val="21"/>
          <w:shd w:fill="FFFFFF" w:val="clear"/>
        </w:rPr>
        <w:t>O contrato poderá ser extinto antes do prazo nele fixado, sem ônus para o contratante, quando esta não dispuser de créditos orçamentários para sua continuidade ou quando entender que o contrato não mais lhe oferece vantagem.</w:t>
      </w:r>
    </w:p>
    <w:p>
      <w:pPr>
        <w:pStyle w:val="Nvel2Red"/>
        <w:numPr>
          <w:ilvl w:val="1"/>
          <w:numId w:val="333"/>
        </w:numPr>
        <w:ind w:left="0" w:firstLine="624"/>
        <w:rPr>
          <w:i w:val="false"/>
          <w:i w:val="false"/>
          <w:iCs w:val="false"/>
          <w:color w:val="000000"/>
          <w:shd w:fill="FFFFFF" w:val="clear"/>
        </w:rPr>
      </w:pPr>
      <w:r>
        <w:rPr>
          <w:i w:val="false"/>
          <w:iCs w:val="false"/>
          <w:color w:val="000000"/>
          <w:szCs w:val="21"/>
          <w:shd w:fill="FFFFFF" w:val="clear"/>
        </w:rPr>
        <w:t>A extinção nesta hipótese ocorrerá na próxima data de aniversário do contrato, desde que haja a notificação do contratado pelo contratante nesse sentido com pelo menos 2 (dois) meses de antecedência desse dia.</w:t>
      </w:r>
      <w:commentRangeEnd w:id="85"/>
      <w:r>
        <w:commentReference w:id="85"/>
      </w:r>
      <w:r>
        <w:rPr>
          <w:i w:val="false"/>
          <w:iCs w:val="false"/>
          <w:color w:val="000000"/>
          <w:szCs w:val="21"/>
          <w:shd w:fill="FFFFFF" w:val="clear"/>
        </w:rPr>
      </w:r>
    </w:p>
    <w:p>
      <w:pPr>
        <w:pStyle w:val="Nvel2Red"/>
        <w:numPr>
          <w:ilvl w:val="1"/>
          <w:numId w:val="334"/>
        </w:numPr>
        <w:ind w:left="0" w:firstLine="624"/>
        <w:rPr>
          <w:i w:val="false"/>
          <w:i w:val="false"/>
          <w:iCs w:val="false"/>
          <w:color w:val="000000"/>
          <w:shd w:fill="FFFFFF" w:val="clear"/>
        </w:rPr>
      </w:pPr>
      <w:commentRangeStart w:id="86"/>
      <w:r>
        <w:rPr>
          <w:i w:val="false"/>
          <w:iCs w:val="false"/>
          <w:color w:val="000000"/>
          <w:szCs w:val="21"/>
          <w:shd w:fill="FFFFFF" w:val="clear"/>
        </w:rPr>
        <w:t>Caso a notificação da não-continuidade do contrato de que trata este subitem ocorra com menos de 2 (dois) meses da data de aniversário, a extinção contratual ocorrerá após 2 (dois) meses da data da comunicação.</w:t>
      </w:r>
      <w:commentRangeEnd w:id="86"/>
      <w:r>
        <w:commentReference w:id="86"/>
      </w:r>
      <w:r>
        <w:rPr>
          <w:i w:val="false"/>
          <w:iCs w:val="false"/>
          <w:color w:val="000000"/>
          <w:szCs w:val="21"/>
          <w:shd w:fill="FFFFFF" w:val="clear"/>
        </w:rPr>
      </w:r>
    </w:p>
    <w:p>
      <w:pPr>
        <w:pStyle w:val="Nivel2"/>
        <w:numPr>
          <w:ilvl w:val="1"/>
          <w:numId w:val="335"/>
        </w:numPr>
        <w:ind w:left="0" w:firstLine="624"/>
        <w:rPr/>
      </w:pPr>
      <w:r>
        <w:rPr>
          <w:szCs w:val="21"/>
        </w:rPr>
        <w:t>O contrato poderá ser extint</w:t>
      </w:r>
      <w:r>
        <w:rPr>
          <w:color w:val="000000"/>
          <w:szCs w:val="21"/>
        </w:rPr>
        <w:t xml:space="preserve">o antes de cumpridas as obrigações nele estipuladas, ou antes do prazo nele fixado, por algum dos motivos previstos no </w:t>
      </w:r>
      <w:r>
        <w:fldChar w:fldCharType="begin"/>
      </w:r>
      <w:r>
        <w:rPr>
          <w:rStyle w:val="LinkdaInternet"/>
          <w:szCs w:val="21"/>
          <w:color w:val="000000"/>
        </w:rPr>
        <w:instrText> HYPERLINK "http://www.planalto.gov.br/ccivil_03/_ato2019-2022/2021/lei/L14133.htm" \l "art137"</w:instrText>
      </w:r>
      <w:r>
        <w:rPr>
          <w:rStyle w:val="LinkdaInternet"/>
          <w:szCs w:val="21"/>
          <w:color w:val="000000"/>
        </w:rPr>
        <w:fldChar w:fldCharType="separate"/>
      </w:r>
      <w:r>
        <w:rPr>
          <w:rStyle w:val="LinkdaInternet"/>
          <w:color w:val="000000"/>
          <w:szCs w:val="21"/>
        </w:rPr>
        <w:t>artigo 137 da Lei nº 14.133/21</w:t>
      </w:r>
      <w:r>
        <w:rPr>
          <w:rStyle w:val="LinkdaInternet"/>
          <w:szCs w:val="21"/>
          <w:color w:val="000000"/>
        </w:rPr>
        <w:fldChar w:fldCharType="end"/>
      </w:r>
      <w:r>
        <w:rPr>
          <w:color w:val="000000"/>
          <w:szCs w:val="21"/>
        </w:rPr>
        <w:t xml:space="preserve">, bem como amigavelmente, </w:t>
      </w:r>
      <w:r>
        <w:rPr>
          <w:color w:val="000000" w:themeColor="text1"/>
          <w:szCs w:val="21"/>
        </w:rPr>
        <w:t>assegurados o contraditório e a ampla defesa</w:t>
      </w:r>
      <w:r>
        <w:rPr>
          <w:color w:val="000000"/>
          <w:szCs w:val="21"/>
        </w:rPr>
        <w:t>.</w:t>
      </w:r>
    </w:p>
    <w:p>
      <w:pPr>
        <w:pStyle w:val="Nivel3"/>
        <w:numPr>
          <w:ilvl w:val="2"/>
          <w:numId w:val="336"/>
        </w:numPr>
        <w:ind w:left="1077" w:hanging="0"/>
        <w:rPr/>
      </w:pPr>
      <w:r>
        <w:rPr>
          <w:color w:val="000000"/>
          <w:sz w:val="21"/>
          <w:szCs w:val="21"/>
        </w:rPr>
        <w:t xml:space="preserve">Nesta hipótese, aplicam-se também os </w:t>
      </w:r>
      <w:r>
        <w:fldChar w:fldCharType="begin"/>
      </w:r>
      <w:r>
        <w:rPr>
          <w:rStyle w:val="LinkdaInternet"/>
          <w:sz w:val="21"/>
          <w:szCs w:val="21"/>
          <w:color w:val="000000"/>
        </w:rPr>
        <w:instrText> HYPERLINK "http://www.planalto.gov.br/ccivil_03/_ato2019-2022/2021/lei/L14133.htm" \l "art138"</w:instrText>
      </w:r>
      <w:r>
        <w:rPr>
          <w:rStyle w:val="LinkdaInternet"/>
          <w:sz w:val="21"/>
          <w:szCs w:val="21"/>
          <w:color w:val="000000"/>
        </w:rPr>
        <w:fldChar w:fldCharType="separate"/>
      </w:r>
      <w:r>
        <w:rPr>
          <w:rStyle w:val="LinkdaInternet"/>
          <w:color w:val="000000"/>
          <w:sz w:val="21"/>
          <w:szCs w:val="21"/>
        </w:rPr>
        <w:t>artigos 138 e 139</w:t>
      </w:r>
      <w:r>
        <w:rPr>
          <w:rStyle w:val="LinkdaInternet"/>
          <w:sz w:val="21"/>
          <w:szCs w:val="21"/>
          <w:color w:val="000000"/>
        </w:rPr>
        <w:fldChar w:fldCharType="end"/>
      </w:r>
      <w:r>
        <w:rPr>
          <w:color w:val="000000"/>
          <w:sz w:val="21"/>
          <w:szCs w:val="21"/>
        </w:rPr>
        <w:t xml:space="preserve"> da mesma Lei.</w:t>
      </w:r>
    </w:p>
    <w:p>
      <w:pPr>
        <w:pStyle w:val="Nivel3"/>
        <w:numPr>
          <w:ilvl w:val="2"/>
          <w:numId w:val="337"/>
        </w:numPr>
        <w:ind w:left="1077" w:hanging="0"/>
        <w:rPr>
          <w:color w:val="000000"/>
        </w:rPr>
      </w:pPr>
      <w:r>
        <w:rPr>
          <w:color w:val="000000"/>
          <w:sz w:val="21"/>
          <w:szCs w:val="21"/>
        </w:rPr>
        <w:t>A alteração social ou a modificação da finalidade ou da estrutura da empresa não ensejará a extinção se não restringir sua capacidade de concluir o contrato.</w:t>
      </w:r>
    </w:p>
    <w:p>
      <w:pPr>
        <w:pStyle w:val="Nivel4"/>
        <w:numPr>
          <w:ilvl w:val="3"/>
          <w:numId w:val="338"/>
        </w:numPr>
        <w:ind w:left="1077" w:hanging="0"/>
        <w:rPr>
          <w:sz w:val="21"/>
          <w:szCs w:val="21"/>
        </w:rPr>
      </w:pPr>
      <w:r>
        <w:rPr>
          <w:color w:val="000000" w:themeColor="text1"/>
          <w:sz w:val="21"/>
          <w:szCs w:val="21"/>
        </w:rPr>
        <w:t xml:space="preserve">Se a operação </w:t>
      </w:r>
      <w:r>
        <w:rPr>
          <w:color w:val="000000"/>
          <w:sz w:val="21"/>
          <w:szCs w:val="21"/>
        </w:rPr>
        <w:t>implicar mudan</w:t>
      </w:r>
      <w:r>
        <w:rPr>
          <w:sz w:val="21"/>
          <w:szCs w:val="21"/>
        </w:rPr>
        <w:t>ça da pessoa jurídica contratada, deverá ser formalizado termo aditivo para alteração subjetiva.</w:t>
      </w:r>
    </w:p>
    <w:p>
      <w:pPr>
        <w:pStyle w:val="Nivel2"/>
        <w:numPr>
          <w:ilvl w:val="1"/>
          <w:numId w:val="339"/>
        </w:numPr>
        <w:ind w:left="0" w:firstLine="624"/>
        <w:rPr>
          <w:szCs w:val="21"/>
        </w:rPr>
      </w:pPr>
      <w:r>
        <w:rPr>
          <w:szCs w:val="21"/>
        </w:rPr>
        <w:t>O termo de extinção, sempre que possível, será precedido:</w:t>
      </w:r>
    </w:p>
    <w:p>
      <w:pPr>
        <w:pStyle w:val="Nivel4"/>
        <w:numPr>
          <w:ilvl w:val="3"/>
          <w:numId w:val="340"/>
        </w:numPr>
        <w:ind w:left="1077" w:hanging="0"/>
        <w:rPr>
          <w:sz w:val="21"/>
          <w:szCs w:val="21"/>
        </w:rPr>
      </w:pPr>
      <w:r>
        <w:rPr>
          <w:sz w:val="21"/>
          <w:szCs w:val="21"/>
        </w:rPr>
        <w:t>Balanço dos eventos contratuais já cumpridos ou parcialmente cumpridos.</w:t>
      </w:r>
    </w:p>
    <w:p>
      <w:pPr>
        <w:pStyle w:val="Nivel4"/>
        <w:numPr>
          <w:ilvl w:val="3"/>
          <w:numId w:val="341"/>
        </w:numPr>
        <w:ind w:left="1077" w:hanging="0"/>
        <w:rPr>
          <w:sz w:val="21"/>
          <w:szCs w:val="21"/>
        </w:rPr>
      </w:pPr>
      <w:r>
        <w:rPr>
          <w:sz w:val="21"/>
          <w:szCs w:val="21"/>
        </w:rPr>
        <w:t>Relação dos pagamentos já efetuados e ainda devidos.</w:t>
      </w:r>
    </w:p>
    <w:p>
      <w:pPr>
        <w:pStyle w:val="Nivel4"/>
        <w:numPr>
          <w:ilvl w:val="3"/>
          <w:numId w:val="342"/>
        </w:numPr>
        <w:ind w:left="1077" w:hanging="0"/>
        <w:rPr>
          <w:color w:val="000000"/>
        </w:rPr>
      </w:pPr>
      <w:r>
        <w:rPr>
          <w:color w:val="000000"/>
          <w:sz w:val="21"/>
          <w:szCs w:val="21"/>
        </w:rPr>
        <w:t>Indenizações e multas.</w:t>
      </w:r>
    </w:p>
    <w:p>
      <w:pPr>
        <w:pStyle w:val="Nivel2"/>
        <w:numPr>
          <w:ilvl w:val="1"/>
          <w:numId w:val="343"/>
        </w:numPr>
        <w:tabs>
          <w:tab w:val="left" w:pos="0" w:leader="none"/>
          <w:tab w:val="left" w:pos="623" w:leader="none"/>
        </w:tabs>
        <w:ind w:left="0" w:firstLine="624"/>
        <w:rPr/>
      </w:pPr>
      <w:r>
        <w:rPr>
          <w:color w:val="000000"/>
          <w:szCs w:val="21"/>
        </w:rPr>
        <w:t>A extinção do contrato não configura óbice para o reconhecimento do desequilíbrio econômico-financeiro, hipótese em que será concedida indenização por meio de termo indenizatório (</w:t>
      </w:r>
      <w:r>
        <w:fldChar w:fldCharType="begin"/>
      </w:r>
      <w:r>
        <w:rPr>
          <w:rStyle w:val="LinkdaInternet"/>
          <w:szCs w:val="21"/>
          <w:color w:val="000000"/>
        </w:rPr>
        <w:instrText> HYPERLINK "http://www.planalto.gov.br/ccivil_03/_ato2019-2022/2021/lei/L14133.htm" \l "art131"</w:instrText>
      </w:r>
      <w:r>
        <w:rPr>
          <w:rStyle w:val="LinkdaInternet"/>
          <w:szCs w:val="21"/>
          <w:color w:val="000000"/>
        </w:rPr>
        <w:fldChar w:fldCharType="separate"/>
      </w:r>
      <w:r>
        <w:rPr>
          <w:rStyle w:val="LinkdaInternet"/>
          <w:color w:val="000000"/>
          <w:szCs w:val="21"/>
        </w:rPr>
        <w:t xml:space="preserve">art. 131, </w:t>
      </w:r>
      <w:r>
        <w:rPr>
          <w:rStyle w:val="LinkdaInternet"/>
          <w:szCs w:val="21"/>
          <w:color w:val="000000"/>
        </w:rPr>
        <w:fldChar w:fldCharType="end"/>
      </w:r>
      <w:r>
        <w:rPr>
          <w:rStyle w:val="LinkdaInternet"/>
          <w:i/>
          <w:iCs/>
          <w:color w:val="000000"/>
          <w:szCs w:val="21"/>
        </w:rPr>
        <w:t xml:space="preserve">caput, </w:t>
      </w:r>
      <w:r>
        <w:rPr>
          <w:rStyle w:val="LinkdaInternet"/>
          <w:color w:val="000000"/>
          <w:szCs w:val="21"/>
        </w:rPr>
        <w:t>da Lei n.º 14.133, de 2021).</w:t>
      </w:r>
    </w:p>
    <w:p>
      <w:pPr>
        <w:pStyle w:val="Nivel2"/>
        <w:numPr>
          <w:ilvl w:val="1"/>
          <w:numId w:val="344"/>
        </w:numPr>
        <w:ind w:left="0" w:firstLine="624"/>
        <w:rPr>
          <w:szCs w:val="21"/>
        </w:rPr>
      </w:pPr>
      <w:r>
        <w:rPr>
          <w:color w:val="000000"/>
          <w:szCs w:val="21"/>
        </w:rPr>
        <w:t xml:space="preserve">O contrato poderá ser </w:t>
      </w:r>
      <w:r>
        <w:rPr>
          <w:szCs w:val="21"/>
        </w:rPr>
        <w:t>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e Art. 14 do Decreto Municipal nº 5807 de 29 de dezembro de 2023).</w:t>
      </w:r>
    </w:p>
    <w:p>
      <w:pPr>
        <w:pStyle w:val="Nivel01"/>
        <w:numPr>
          <w:ilvl w:val="0"/>
          <w:numId w:val="345"/>
        </w:numPr>
        <w:spacing w:lineRule="auto" w:line="276" w:before="0" w:after="240"/>
        <w:ind w:left="0" w:right="0" w:hanging="0"/>
        <w:rPr>
          <w:sz w:val="21"/>
          <w:szCs w:val="21"/>
        </w:rPr>
      </w:pPr>
      <w:r>
        <w:rPr>
          <w:sz w:val="21"/>
          <w:szCs w:val="21"/>
        </w:rPr>
        <w:t>CLÁUSULA DÉCIMA QUARTA – ALTERAÇÕES</w:t>
      </w:r>
    </w:p>
    <w:p>
      <w:pPr>
        <w:pStyle w:val="Nivel2"/>
        <w:numPr>
          <w:ilvl w:val="1"/>
          <w:numId w:val="346"/>
        </w:numPr>
        <w:ind w:left="0" w:firstLine="567"/>
        <w:rPr/>
      </w:pPr>
      <w:r>
        <w:rPr>
          <w:color w:val="000000"/>
          <w:szCs w:val="21"/>
          <w:shd w:fill="FFFFFF" w:val="clear"/>
        </w:rPr>
        <w:t xml:space="preserve">Eventuais alterações contratuais reger-se-ão pela disciplina dos </w:t>
      </w:r>
      <w:r>
        <w:fldChar w:fldCharType="begin"/>
      </w:r>
      <w:r>
        <w:rPr>
          <w:rStyle w:val="LinkdaInternet"/>
          <w:shd w:fill="FFFFFF" w:val="clear"/>
          <w:szCs w:val="21"/>
          <w:color w:val="000000"/>
        </w:rPr>
        <w:instrText> HYPERLINK "http://www.planalto.gov.br/ccivil_03/_ato2019-2022/2021/lei/L14133.htm" \l "art124"</w:instrText>
      </w:r>
      <w:r>
        <w:rPr>
          <w:rStyle w:val="LinkdaInternet"/>
          <w:shd w:fill="FFFFFF" w:val="clear"/>
          <w:szCs w:val="21"/>
          <w:color w:val="000000"/>
        </w:rPr>
        <w:fldChar w:fldCharType="separate"/>
      </w:r>
      <w:r>
        <w:rPr>
          <w:rStyle w:val="LinkdaInternet"/>
          <w:color w:val="000000"/>
          <w:szCs w:val="21"/>
          <w:shd w:fill="FFFFFF" w:val="clear"/>
        </w:rPr>
        <w:t>arts. 124 e seguintes da Lei nº 14.133, de 2021</w:t>
      </w:r>
      <w:r>
        <w:rPr>
          <w:rStyle w:val="LinkdaInternet"/>
          <w:shd w:fill="FFFFFF" w:val="clear"/>
          <w:szCs w:val="21"/>
          <w:color w:val="000000"/>
        </w:rPr>
        <w:fldChar w:fldCharType="end"/>
      </w:r>
      <w:r>
        <w:rPr>
          <w:color w:val="000000"/>
          <w:szCs w:val="21"/>
          <w:shd w:fill="FFFFFF" w:val="clear"/>
        </w:rPr>
        <w:t>.</w:t>
      </w:r>
    </w:p>
    <w:p>
      <w:pPr>
        <w:pStyle w:val="Nivel2"/>
        <w:numPr>
          <w:ilvl w:val="1"/>
          <w:numId w:val="347"/>
        </w:numPr>
        <w:ind w:left="0" w:firstLine="567"/>
        <w:rPr>
          <w:color w:val="000000"/>
          <w:shd w:fill="FFFFFF" w:val="clear"/>
        </w:rPr>
      </w:pPr>
      <w:r>
        <w:rPr>
          <w:color w:val="000000"/>
          <w:szCs w:val="21"/>
          <w:shd w:fill="FFFFFF" w:val="clea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348"/>
        </w:numPr>
        <w:ind w:left="0" w:firstLine="567"/>
        <w:rPr>
          <w:color w:val="000000"/>
          <w:shd w:fill="FFFFFF" w:val="clear"/>
        </w:rPr>
      </w:pPr>
      <w:r>
        <w:rPr>
          <w:color w:val="000000"/>
          <w:szCs w:val="21"/>
          <w:shd w:fill="FFFFFF"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349"/>
        </w:numPr>
        <w:ind w:left="0" w:firstLine="567"/>
        <w:rPr/>
      </w:pPr>
      <w:r>
        <w:rPr>
          <w:szCs w:val="21"/>
        </w:rPr>
        <w:t xml:space="preserve">Registros que não caracterizam alteração do contrato podem ser realizados por simples apostila, dispensada a celebração de termo aditivo, na forma do </w:t>
      </w:r>
      <w:r>
        <w:fldChar w:fldCharType="begin"/>
      </w:r>
      <w:r>
        <w:rPr>
          <w:rStyle w:val="LinkdaInternet"/>
          <w:szCs w:val="21"/>
        </w:rPr>
        <w:instrText> HYPERLINK "http://www.planalto.gov.br/ccivil_03/_ato2019-2022/2021/lei/L14133.htm" \l "art136"</w:instrText>
      </w:r>
      <w:r>
        <w:rPr>
          <w:rStyle w:val="LinkdaInternet"/>
          <w:szCs w:val="21"/>
        </w:rPr>
        <w:fldChar w:fldCharType="separate"/>
      </w:r>
      <w:r>
        <w:rPr>
          <w:rStyle w:val="LinkdaInternet"/>
          <w:szCs w:val="21"/>
        </w:rPr>
        <w:t>art. 136 da Lei nº 14.133, de 2021</w:t>
      </w:r>
      <w:r>
        <w:rPr>
          <w:rStyle w:val="LinkdaInternet"/>
          <w:szCs w:val="21"/>
        </w:rPr>
        <w:fldChar w:fldCharType="end"/>
      </w:r>
      <w:r>
        <w:rPr>
          <w:szCs w:val="21"/>
        </w:rPr>
        <w:t>.</w:t>
      </w:r>
    </w:p>
    <w:p>
      <w:pPr>
        <w:pStyle w:val="Nivel01"/>
        <w:numPr>
          <w:ilvl w:val="0"/>
          <w:numId w:val="350"/>
        </w:numPr>
        <w:spacing w:lineRule="auto" w:line="276" w:before="0" w:after="240"/>
        <w:ind w:left="0" w:right="0" w:hanging="0"/>
        <w:rPr/>
      </w:pPr>
      <w:r>
        <w:rPr>
          <w:sz w:val="21"/>
          <w:szCs w:val="21"/>
        </w:rPr>
        <w:t>CLÁUSULA DÉCIMA QUINTA – DOTAÇÃO ORÇAMENTÁRIA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VIII</w:t>
      </w:r>
      <w:r>
        <w:rPr>
          <w:rStyle w:val="LinkdaInternet"/>
          <w:sz w:val="21"/>
          <w:szCs w:val="21"/>
        </w:rPr>
        <w:fldChar w:fldCharType="end"/>
      </w:r>
      <w:r>
        <w:rPr>
          <w:sz w:val="21"/>
          <w:szCs w:val="21"/>
        </w:rPr>
        <w:t>)</w:t>
      </w:r>
    </w:p>
    <w:p>
      <w:pPr>
        <w:pStyle w:val="Nivel2"/>
        <w:numPr>
          <w:ilvl w:val="1"/>
          <w:numId w:val="351"/>
        </w:numPr>
        <w:ind w:left="0" w:firstLine="567"/>
        <w:rPr>
          <w:szCs w:val="21"/>
        </w:rPr>
      </w:pPr>
      <w:r>
        <w:rPr>
          <w:szCs w:val="21"/>
        </w:rPr>
        <w:t>As despesas decorrentes da presente contratação correrão à conta de recursos específicos consignados no Orçamento da Secretaria Municipal ______________ deste exercício, na dotação abaixo discriminada:</w:t>
      </w:r>
    </w:p>
    <w:p>
      <w:pPr>
        <w:pStyle w:val="Normal"/>
        <w:spacing w:lineRule="auto" w:line="276" w:before="340" w:after="0"/>
        <w:ind w:hanging="0"/>
        <w:jc w:val="both"/>
        <w:rPr/>
      </w:pPr>
      <w:r>
        <w:rPr>
          <w:rFonts w:eastAsia="Arial" w:cs="Arial" w:ascii="Arial" w:hAnsi="Arial"/>
          <w:sz w:val="21"/>
          <w:szCs w:val="21"/>
        </w:rPr>
        <w:t>Dotação n.º:</w:t>
      </w:r>
    </w:p>
    <w:p>
      <w:pPr>
        <w:pStyle w:val="Normal"/>
        <w:spacing w:lineRule="auto" w:line="276" w:before="340" w:after="0"/>
        <w:ind w:hanging="0"/>
        <w:jc w:val="both"/>
        <w:rPr/>
      </w:pPr>
      <w:r>
        <w:rPr>
          <w:rFonts w:eastAsia="Arial" w:cs="Arial" w:ascii="Arial" w:hAnsi="Arial"/>
          <w:sz w:val="21"/>
          <w:szCs w:val="21"/>
        </w:rPr>
        <w:t xml:space="preserve">Fonte de Recurso: </w:t>
      </w:r>
    </w:p>
    <w:p>
      <w:pPr>
        <w:pStyle w:val="Normal"/>
        <w:spacing w:lineRule="auto" w:line="276" w:before="340" w:after="0"/>
        <w:ind w:hanging="0"/>
        <w:jc w:val="both"/>
        <w:rPr/>
      </w:pPr>
      <w:r>
        <w:rPr>
          <w:rFonts w:eastAsia="Arial" w:cs="Arial" w:ascii="Arial" w:hAnsi="Arial"/>
          <w:sz w:val="21"/>
          <w:szCs w:val="21"/>
        </w:rPr>
        <w:t>Projeto/Atividade:</w:t>
      </w:r>
    </w:p>
    <w:p>
      <w:pPr>
        <w:pStyle w:val="Normal"/>
        <w:spacing w:lineRule="auto" w:line="276" w:before="340" w:after="0"/>
        <w:ind w:hanging="0"/>
        <w:jc w:val="both"/>
        <w:rPr/>
      </w:pPr>
      <w:r>
        <w:rPr>
          <w:rFonts w:eastAsia="Arial" w:cs="Arial" w:ascii="Arial" w:hAnsi="Arial"/>
          <w:sz w:val="21"/>
          <w:szCs w:val="21"/>
        </w:rPr>
        <w:t>Elemento de Despesa:</w:t>
      </w:r>
    </w:p>
    <w:p>
      <w:pPr>
        <w:pStyle w:val="Normal"/>
        <w:spacing w:lineRule="auto" w:line="276" w:before="340" w:after="0"/>
        <w:ind w:hanging="0"/>
        <w:jc w:val="both"/>
        <w:rPr/>
      </w:pPr>
      <w:r>
        <w:rPr>
          <w:rFonts w:eastAsia="Arial" w:cs="Arial" w:ascii="Arial" w:hAnsi="Arial"/>
          <w:sz w:val="21"/>
          <w:szCs w:val="21"/>
        </w:rPr>
        <w:t>Elemento analítico:</w:t>
      </w:r>
    </w:p>
    <w:p>
      <w:pPr>
        <w:pStyle w:val="Nvel2Red"/>
        <w:numPr>
          <w:ilvl w:val="1"/>
          <w:numId w:val="352"/>
        </w:numPr>
        <w:tabs>
          <w:tab w:val="left" w:pos="0" w:leader="none"/>
          <w:tab w:val="left" w:pos="1418" w:leader="none"/>
        </w:tabs>
        <w:ind w:left="0" w:firstLine="567"/>
        <w:rPr>
          <w:i w:val="false"/>
          <w:i w:val="false"/>
          <w:iCs w:val="false"/>
          <w:color w:val="000000"/>
        </w:rPr>
      </w:pPr>
      <w:commentRangeStart w:id="87"/>
      <w:r>
        <w:rPr>
          <w:i w:val="false"/>
          <w:iCs w:val="false"/>
          <w:color w:val="000000"/>
          <w:szCs w:val="21"/>
        </w:rPr>
        <w:t>A dotação relativa aos exercícios financeiros subsequentes será indicada após aprovação da Lei Orçamentária respectiva e liberação dos créditos correspondentes, mediante apostilamento.</w:t>
      </w:r>
      <w:commentRangeEnd w:id="87"/>
      <w:r>
        <w:commentReference w:id="87"/>
      </w:r>
      <w:r>
        <w:rPr>
          <w:i w:val="false"/>
          <w:iCs w:val="false"/>
          <w:color w:val="000000"/>
          <w:szCs w:val="21"/>
        </w:rPr>
      </w:r>
    </w:p>
    <w:p>
      <w:pPr>
        <w:pStyle w:val="Nivel01"/>
        <w:numPr>
          <w:ilvl w:val="0"/>
          <w:numId w:val="353"/>
        </w:numPr>
        <w:spacing w:lineRule="auto" w:line="276" w:before="0" w:after="240"/>
        <w:ind w:left="0" w:right="0" w:hanging="0"/>
        <w:rPr/>
      </w:pPr>
      <w:r>
        <w:rPr>
          <w:sz w:val="21"/>
          <w:szCs w:val="21"/>
        </w:rPr>
        <w:t>CLÁUSULA DÉCIMA SEXTA – DOS CASOS OMISSOS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III</w:t>
      </w:r>
      <w:r>
        <w:rPr>
          <w:rStyle w:val="LinkdaInternet"/>
          <w:sz w:val="21"/>
          <w:szCs w:val="21"/>
        </w:rPr>
        <w:fldChar w:fldCharType="end"/>
      </w:r>
      <w:r>
        <w:rPr>
          <w:sz w:val="21"/>
          <w:szCs w:val="21"/>
        </w:rPr>
        <w:t>)</w:t>
      </w:r>
    </w:p>
    <w:p>
      <w:pPr>
        <w:pStyle w:val="Nivel2"/>
        <w:numPr>
          <w:ilvl w:val="1"/>
          <w:numId w:val="354"/>
        </w:numPr>
        <w:ind w:left="0" w:firstLine="567"/>
        <w:rPr/>
      </w:pPr>
      <w:commentRangeStart w:id="88"/>
      <w:r>
        <w:rPr>
          <w:color w:val="000000"/>
          <w:szCs w:val="21"/>
        </w:rPr>
        <w:t xml:space="preserve">Os casos omissos serão decididos pelo contratante, segundo as disposições contidas na Lei </w:t>
      </w:r>
      <w:hyperlink r:id="rId41">
        <w:r>
          <w:rPr>
            <w:rStyle w:val="LinkdaInternet"/>
            <w:color w:val="000000"/>
            <w:szCs w:val="21"/>
          </w:rPr>
          <w:t>nº 14.133, de 2021</w:t>
        </w:r>
      </w:hyperlink>
      <w:r>
        <w:rPr>
          <w:color w:val="000000"/>
          <w:szCs w:val="21"/>
        </w:rPr>
        <w:t xml:space="preserve">, e demais normas federais aplicáveis e, subsidiariamente, segundo as disposições contidas na </w:t>
      </w:r>
      <w:hyperlink r:id="rId42">
        <w:r>
          <w:rPr>
            <w:rStyle w:val="LinkdaInternet"/>
            <w:color w:val="000000"/>
            <w:szCs w:val="21"/>
          </w:rPr>
          <w:t>Lei nº 8.078, de 1990 – Código de Defesa do Consumidor</w:t>
        </w:r>
      </w:hyperlink>
      <w:r>
        <w:rPr>
          <w:color w:val="000000"/>
          <w:szCs w:val="21"/>
        </w:rPr>
        <w:t xml:space="preserve"> – e normas e princípios gerais dos contratos.</w:t>
      </w:r>
      <w:commentRangeEnd w:id="88"/>
      <w:r>
        <w:commentReference w:id="88"/>
      </w:r>
      <w:r>
        <w:rPr>
          <w:color w:val="000000"/>
          <w:szCs w:val="21"/>
        </w:rPr>
      </w:r>
    </w:p>
    <w:p>
      <w:pPr>
        <w:pStyle w:val="Nivel01"/>
        <w:numPr>
          <w:ilvl w:val="0"/>
          <w:numId w:val="355"/>
        </w:numPr>
        <w:spacing w:lineRule="auto" w:line="276" w:before="0" w:after="240"/>
        <w:ind w:left="0" w:right="0" w:hanging="0"/>
        <w:rPr>
          <w:color w:val="000000"/>
        </w:rPr>
      </w:pPr>
      <w:r>
        <w:rPr>
          <w:color w:val="000000"/>
          <w:sz w:val="21"/>
          <w:szCs w:val="21"/>
        </w:rPr>
        <w:t>CLÁUSULA DÉCIMA SÉTIMA – PUBLICAÇÃO</w:t>
      </w:r>
    </w:p>
    <w:p>
      <w:pPr>
        <w:pStyle w:val="Nivel2"/>
        <w:numPr>
          <w:ilvl w:val="1"/>
          <w:numId w:val="356"/>
        </w:numPr>
        <w:ind w:left="0" w:firstLine="567"/>
        <w:rPr/>
      </w:pPr>
      <w:r>
        <w:rPr>
          <w:color w:val="000000"/>
          <w:szCs w:val="21"/>
        </w:rPr>
        <w:t xml:space="preserve">Incumbirá ao contratante divulgar o presente instrumento no Portal Nacional de Contratações Públicas (PNCP), na forma prevista no </w:t>
      </w:r>
      <w:r>
        <w:fldChar w:fldCharType="begin"/>
      </w:r>
      <w:r>
        <w:rPr>
          <w:rStyle w:val="LinkdaInternet"/>
          <w:szCs w:val="21"/>
          <w:color w:val="000000"/>
        </w:rPr>
        <w:instrText> HYPERLINK "http://www.planalto.gov.br/ccivil_03/_ato2019-2022/2021/lei/L14133.htm" \l "art94"</w:instrText>
      </w:r>
      <w:r>
        <w:rPr>
          <w:rStyle w:val="LinkdaInternet"/>
          <w:szCs w:val="21"/>
          <w:color w:val="000000"/>
        </w:rPr>
        <w:fldChar w:fldCharType="separate"/>
      </w:r>
      <w:r>
        <w:rPr>
          <w:rStyle w:val="LinkdaInternet"/>
          <w:color w:val="000000"/>
          <w:szCs w:val="21"/>
        </w:rPr>
        <w:t>art. 94 da Lei 14.133, de 2021</w:t>
      </w:r>
      <w:r>
        <w:rPr>
          <w:rStyle w:val="LinkdaInternet"/>
          <w:szCs w:val="21"/>
          <w:color w:val="000000"/>
        </w:rPr>
        <w:fldChar w:fldCharType="end"/>
      </w:r>
      <w:r>
        <w:rPr>
          <w:color w:val="000000"/>
          <w:szCs w:val="21"/>
        </w:rPr>
        <w:t xml:space="preserve">, </w:t>
      </w:r>
      <w:r>
        <w:rPr>
          <w:szCs w:val="21"/>
        </w:rPr>
        <w:t>bem como no respe</w:t>
      </w:r>
      <w:r>
        <w:rPr>
          <w:color w:val="000000"/>
          <w:szCs w:val="21"/>
          <w:shd w:fill="FFFFFF" w:val="clear"/>
        </w:rPr>
        <w:t xml:space="preserve">ctivo sítio oficial na Internet, em atenção ao art. 91, </w:t>
      </w:r>
      <w:r>
        <w:rPr>
          <w:i/>
          <w:color w:val="000000"/>
          <w:szCs w:val="21"/>
          <w:shd w:fill="FFFFFF" w:val="clear"/>
        </w:rPr>
        <w:t>caput,</w:t>
      </w:r>
      <w:r>
        <w:rPr>
          <w:color w:val="000000"/>
          <w:szCs w:val="21"/>
          <w:shd w:fill="FFFFFF" w:val="clear"/>
        </w:rPr>
        <w:t xml:space="preserve"> da Lei n.º 14.133, de 2021, e ao </w:t>
      </w:r>
      <w:r>
        <w:fldChar w:fldCharType="begin"/>
      </w:r>
      <w:r>
        <w:rPr>
          <w:rStyle w:val="LinkdaInternet"/>
          <w:shd w:fill="FFFFFF" w:val="clear"/>
          <w:szCs w:val="21"/>
          <w:color w:val="000000"/>
        </w:rPr>
        <w:instrText> HYPERLINK "https://www.planalto.gov.br/ccivil_03/_ato2011-2014/2011/lei/l12527.htm" \l "art8§2"</w:instrText>
      </w:r>
      <w:r>
        <w:rPr>
          <w:rStyle w:val="LinkdaInternet"/>
          <w:shd w:fill="FFFFFF" w:val="clear"/>
          <w:szCs w:val="21"/>
          <w:color w:val="000000"/>
        </w:rPr>
        <w:fldChar w:fldCharType="separate"/>
      </w:r>
      <w:r>
        <w:rPr>
          <w:rStyle w:val="LinkdaInternet"/>
          <w:color w:val="000000"/>
          <w:szCs w:val="21"/>
          <w:shd w:fill="FFFFFF" w:val="clear"/>
        </w:rPr>
        <w:t>art. 8º, §2º, da Lei n. 12.527, de 2011</w:t>
      </w:r>
      <w:r>
        <w:rPr>
          <w:rStyle w:val="LinkdaInternet"/>
          <w:shd w:fill="FFFFFF" w:val="clear"/>
          <w:szCs w:val="21"/>
          <w:color w:val="000000"/>
        </w:rPr>
        <w:fldChar w:fldCharType="end"/>
      </w:r>
      <w:r>
        <w:rPr>
          <w:color w:val="000000"/>
          <w:szCs w:val="21"/>
          <w:shd w:fill="FFFFFF" w:val="clear"/>
        </w:rPr>
        <w:t xml:space="preserve">, c/c </w:t>
      </w:r>
      <w:r>
        <w:fldChar w:fldCharType="begin"/>
      </w:r>
      <w:r>
        <w:rPr>
          <w:rStyle w:val="LinkdaInternet"/>
          <w:shd w:fill="FFFFFF" w:val="clear"/>
          <w:szCs w:val="21"/>
          <w:color w:val="000000"/>
        </w:rPr>
        <w:instrText> HYPERLINK "https://www.planalto.gov.br/ccivil_03/_ato2011-2014/2012/decreto/d7724.htm" \l "art7§3"</w:instrText>
      </w:r>
      <w:r>
        <w:rPr>
          <w:rStyle w:val="LinkdaInternet"/>
          <w:shd w:fill="FFFFFF" w:val="clear"/>
          <w:szCs w:val="21"/>
          <w:color w:val="000000"/>
        </w:rPr>
        <w:fldChar w:fldCharType="separate"/>
      </w:r>
      <w:r>
        <w:rPr>
          <w:rStyle w:val="LinkdaInternet"/>
          <w:color w:val="000000"/>
          <w:szCs w:val="21"/>
          <w:shd w:fill="FFFFFF" w:val="clear"/>
        </w:rPr>
        <w:t>art. 7º, §3º, inciso V, do Decreto n. 7.724, de 2012</w:t>
      </w:r>
      <w:r>
        <w:rPr>
          <w:rStyle w:val="LinkdaInternet"/>
          <w:shd w:fill="FFFFFF" w:val="clear"/>
          <w:szCs w:val="21"/>
          <w:color w:val="000000"/>
        </w:rPr>
        <w:fldChar w:fldCharType="end"/>
      </w:r>
      <w:r>
        <w:rPr>
          <w:color w:val="000000"/>
          <w:szCs w:val="21"/>
          <w:shd w:fill="FFFFFF" w:val="clear"/>
        </w:rPr>
        <w:t>.</w:t>
      </w:r>
    </w:p>
    <w:p>
      <w:pPr>
        <w:pStyle w:val="Nivel01"/>
        <w:numPr>
          <w:ilvl w:val="0"/>
          <w:numId w:val="357"/>
        </w:numPr>
        <w:spacing w:lineRule="auto" w:line="276" w:before="0" w:after="240"/>
        <w:ind w:left="0" w:right="0" w:hanging="0"/>
        <w:rPr>
          <w:color w:val="000000"/>
          <w:shd w:fill="FFFFFF" w:val="clear"/>
        </w:rPr>
      </w:pPr>
      <w:r>
        <w:rPr>
          <w:color w:val="000000"/>
          <w:sz w:val="21"/>
          <w:szCs w:val="21"/>
          <w:shd w:fill="FFFFFF" w:val="clear"/>
        </w:rPr>
        <w:t xml:space="preserve">CLÁUSULA DÉCIMA OITAVA – DA GESTÃO E FISCALIZAÇÃO CONTRATUAL </w:t>
      </w:r>
    </w:p>
    <w:p>
      <w:pPr>
        <w:pStyle w:val="Nivel2"/>
        <w:numPr>
          <w:ilvl w:val="1"/>
          <w:numId w:val="358"/>
        </w:numPr>
        <w:ind w:left="0" w:firstLine="567"/>
        <w:rPr>
          <w:szCs w:val="21"/>
        </w:rPr>
      </w:pPr>
      <w:r>
        <w:rPr>
          <w:color w:val="000000"/>
          <w:szCs w:val="21"/>
          <w:shd w:fill="FFFFFF" w:val="clear"/>
        </w:rPr>
        <w:t>A fiscalização contratual</w:t>
      </w:r>
      <w:r>
        <w:rPr>
          <w:szCs w:val="21"/>
        </w:rPr>
        <w:t xml:space="preserve"> seguirá a IN 18/2019- CSCI.</w:t>
      </w:r>
    </w:p>
    <w:p>
      <w:pPr>
        <w:pStyle w:val="Nivel2"/>
        <w:numPr>
          <w:ilvl w:val="1"/>
          <w:numId w:val="359"/>
        </w:numPr>
        <w:ind w:left="0" w:firstLine="567"/>
        <w:rPr>
          <w:szCs w:val="21"/>
        </w:rPr>
      </w:pPr>
      <w:r>
        <w:rPr>
          <w:szCs w:val="21"/>
        </w:rPr>
        <w:t>Para a gestão e fiscalização deste Contrato pela Administração foram designados os seguintes servidores, conforme Portaria n.° 11/2024-SEMUTTRAN:</w:t>
      </w:r>
    </w:p>
    <w:p>
      <w:pPr>
        <w:pStyle w:val="Nivel2"/>
        <w:numPr>
          <w:ilvl w:val="0"/>
          <w:numId w:val="0"/>
        </w:numPr>
        <w:ind w:left="1425" w:hanging="0"/>
        <w:rPr>
          <w:szCs w:val="21"/>
        </w:rPr>
      </w:pPr>
      <w:r>
        <w:rPr>
          <w:szCs w:val="21"/>
        </w:rPr>
      </w:r>
    </w:p>
    <w:p>
      <w:pPr>
        <w:pStyle w:val="Nivel2"/>
        <w:spacing w:lineRule="auto" w:line="360" w:before="227" w:after="119"/>
        <w:ind w:left="0" w:hanging="0"/>
        <w:rPr/>
      </w:pPr>
      <w:r>
        <w:rPr>
          <w:b/>
          <w:szCs w:val="21"/>
        </w:rPr>
        <w:t xml:space="preserve">GESTOR: </w:t>
      </w:r>
      <w:r>
        <w:rPr>
          <w:szCs w:val="21"/>
        </w:rPr>
        <w:t>Marcelo José da Cruz, Matrícula Funcional n.º 11605.</w:t>
      </w:r>
    </w:p>
    <w:p>
      <w:pPr>
        <w:pStyle w:val="Nivel2"/>
        <w:spacing w:lineRule="auto" w:line="360" w:before="227" w:after="119"/>
        <w:ind w:left="0" w:hanging="0"/>
        <w:rPr/>
      </w:pPr>
      <w:r>
        <w:rPr>
          <w:b/>
          <w:szCs w:val="21"/>
        </w:rPr>
        <w:t xml:space="preserve">GESTORA SUPLENTE: </w:t>
      </w:r>
      <w:r>
        <w:rPr>
          <w:szCs w:val="21"/>
        </w:rPr>
        <w:t>Patrícia Margarete Rocha Borges, Matrícula Funcional n.º 11164.</w:t>
      </w:r>
    </w:p>
    <w:p>
      <w:pPr>
        <w:pStyle w:val="Nivel2"/>
        <w:spacing w:lineRule="auto" w:line="360" w:before="227" w:after="119"/>
        <w:ind w:left="0" w:hanging="0"/>
        <w:rPr/>
      </w:pPr>
      <w:r>
        <w:rPr>
          <w:b/>
          <w:szCs w:val="21"/>
        </w:rPr>
        <w:t>FISCAL:</w:t>
      </w:r>
      <w:r>
        <w:rPr>
          <w:szCs w:val="21"/>
        </w:rPr>
        <w:t xml:space="preserve"> Rodrigo Emanoel Sochacewski, Matrícula Funcional n.º 20817.</w:t>
      </w:r>
    </w:p>
    <w:p>
      <w:pPr>
        <w:pStyle w:val="Nivel2"/>
        <w:spacing w:lineRule="auto" w:line="360" w:before="227" w:after="119"/>
        <w:ind w:left="0" w:hanging="0"/>
        <w:rPr/>
      </w:pPr>
      <w:r>
        <w:rPr>
          <w:b/>
          <w:szCs w:val="21"/>
        </w:rPr>
        <w:t xml:space="preserve">FISCAL SUPLENTE: </w:t>
      </w:r>
      <w:r>
        <w:rPr>
          <w:szCs w:val="21"/>
        </w:rPr>
        <w:t>Pedro Angelo da Silva Neto, Matrícula Funcional n.º 21935.</w:t>
      </w:r>
    </w:p>
    <w:p>
      <w:pPr>
        <w:pStyle w:val="Nivel2"/>
        <w:ind w:left="0" w:hanging="0"/>
        <w:rPr>
          <w:szCs w:val="21"/>
        </w:rPr>
      </w:pPr>
      <w:r>
        <w:rPr>
          <w:szCs w:val="21"/>
        </w:rPr>
      </w:r>
    </w:p>
    <w:p>
      <w:pPr>
        <w:pStyle w:val="Nivel2"/>
        <w:numPr>
          <w:ilvl w:val="1"/>
          <w:numId w:val="360"/>
        </w:numPr>
        <w:ind w:left="0" w:firstLine="567"/>
        <w:rPr>
          <w:szCs w:val="21"/>
        </w:rPr>
      </w:pPr>
      <w:r>
        <w:rPr>
          <w:szCs w:val="21"/>
        </w:rPr>
        <w:t>A fiscalização de que trata esta cláusula não exclui nem reduz a responsabilidade do contratado, pelos danos causados ao Município ou a terceiros, resultantes de ação ou omissão culposa ou dolosa de quaisquer de seus empregados ou prepostos.</w:t>
      </w:r>
    </w:p>
    <w:p>
      <w:pPr>
        <w:pStyle w:val="Nivel2"/>
        <w:numPr>
          <w:ilvl w:val="0"/>
          <w:numId w:val="0"/>
        </w:numPr>
        <w:ind w:left="1425" w:hanging="0"/>
        <w:rPr>
          <w:sz w:val="12"/>
          <w:szCs w:val="12"/>
        </w:rPr>
      </w:pPr>
      <w:r>
        <w:rPr>
          <w:sz w:val="12"/>
          <w:szCs w:val="12"/>
        </w:rPr>
      </w:r>
    </w:p>
    <w:p>
      <w:pPr>
        <w:pStyle w:val="Nivel01"/>
        <w:numPr>
          <w:ilvl w:val="0"/>
          <w:numId w:val="361"/>
        </w:numPr>
        <w:spacing w:lineRule="auto" w:line="276" w:before="0" w:after="240"/>
        <w:ind w:left="0" w:right="0" w:hanging="0"/>
        <w:rPr/>
      </w:pPr>
      <w:r>
        <w:rPr>
          <w:sz w:val="21"/>
          <w:szCs w:val="21"/>
        </w:rPr>
        <w:t>CLÁUSULA DÉCIMA NONA – FORO (</w:t>
      </w:r>
      <w:r>
        <w:fldChar w:fldCharType="begin"/>
      </w:r>
      <w:r>
        <w:rPr>
          <w:rStyle w:val="LinkdaInternet"/>
          <w:sz w:val="21"/>
          <w:szCs w:val="21"/>
        </w:rPr>
        <w:instrText> HYPERLINK "http://www.planalto.gov.br/ccivil_03/_ato2019-2022/2021/lei/L14133.htm" \l "art92§1"</w:instrText>
      </w:r>
      <w:r>
        <w:rPr>
          <w:rStyle w:val="LinkdaInternet"/>
          <w:sz w:val="21"/>
          <w:szCs w:val="21"/>
        </w:rPr>
        <w:fldChar w:fldCharType="separate"/>
      </w:r>
      <w:r>
        <w:rPr>
          <w:rStyle w:val="LinkdaInternet"/>
          <w:sz w:val="21"/>
          <w:szCs w:val="21"/>
        </w:rPr>
        <w:t>art. 92, §1º</w:t>
      </w:r>
      <w:r>
        <w:rPr>
          <w:rStyle w:val="LinkdaInternet"/>
          <w:sz w:val="21"/>
          <w:szCs w:val="21"/>
        </w:rPr>
        <w:fldChar w:fldCharType="end"/>
      </w:r>
      <w:r>
        <w:rPr>
          <w:sz w:val="21"/>
          <w:szCs w:val="21"/>
        </w:rPr>
        <w:t>)</w:t>
      </w:r>
    </w:p>
    <w:p>
      <w:pPr>
        <w:pStyle w:val="Nivel2"/>
        <w:numPr>
          <w:ilvl w:val="1"/>
          <w:numId w:val="362"/>
        </w:numPr>
        <w:ind w:left="0" w:firstLine="567"/>
        <w:rPr/>
      </w:pPr>
      <w:r>
        <w:rPr>
          <w:color w:val="auto"/>
          <w:szCs w:val="21"/>
          <w:lang w:eastAsia="en-US"/>
        </w:rPr>
        <w:t xml:space="preserve">Fica eleito </w:t>
      </w:r>
      <w:r>
        <w:rPr>
          <w:color w:val="000000"/>
          <w:szCs w:val="21"/>
          <w:lang w:eastAsia="en-US"/>
        </w:rPr>
        <w:t xml:space="preserve">o </w:t>
      </w:r>
      <w:r>
        <w:rPr>
          <w:b/>
          <w:color w:val="000000"/>
          <w:szCs w:val="21"/>
        </w:rPr>
        <w:t>Foro da Cidade de São José dos Pinhais, Estado do Paraná</w:t>
      </w:r>
      <w:r>
        <w:rPr>
          <w:color w:val="000000"/>
          <w:szCs w:val="21"/>
        </w:rPr>
        <w:t xml:space="preserve">, para dirimir os litígios que decorrerem da execução deste Termo de Contrato que não puderem ser compostos pela conciliação, conforme </w:t>
      </w:r>
      <w:r>
        <w:fldChar w:fldCharType="begin"/>
      </w:r>
      <w:r>
        <w:rPr>
          <w:rStyle w:val="LinkdaInternet"/>
          <w:szCs w:val="21"/>
          <w:color w:val="000000"/>
        </w:rPr>
        <w:instrText> HYPERLINK "http://www.planalto.gov.br/ccivil_03/_ato2019-2022/2021/lei/L14133.htm" \l "art92§1"</w:instrText>
      </w:r>
      <w:r>
        <w:rPr>
          <w:rStyle w:val="LinkdaInternet"/>
          <w:szCs w:val="21"/>
          <w:color w:val="000000"/>
        </w:rPr>
        <w:fldChar w:fldCharType="separate"/>
      </w:r>
      <w:r>
        <w:rPr>
          <w:rStyle w:val="LinkdaInternet"/>
          <w:color w:val="000000"/>
          <w:szCs w:val="21"/>
        </w:rPr>
        <w:t>art. 92, §1º, da Lei nº 14.133/21</w:t>
      </w:r>
      <w:r>
        <w:rPr>
          <w:rStyle w:val="LinkdaInternet"/>
          <w:szCs w:val="21"/>
          <w:color w:val="000000"/>
        </w:rPr>
        <w:fldChar w:fldCharType="end"/>
      </w:r>
      <w:r>
        <w:rPr>
          <w:color w:val="000000"/>
          <w:szCs w:val="21"/>
        </w:rPr>
        <w:t>.</w:t>
      </w:r>
    </w:p>
    <w:p>
      <w:pPr>
        <w:pStyle w:val="Nivel2"/>
        <w:ind w:left="0" w:firstLine="567"/>
        <w:rPr>
          <w:color w:val="000000"/>
          <w:szCs w:val="21"/>
        </w:rPr>
      </w:pPr>
      <w:r>
        <w:rPr>
          <w:color w:val="000000"/>
          <w:szCs w:val="21"/>
        </w:rPr>
      </w:r>
    </w:p>
    <w:p>
      <w:pPr>
        <w:pStyle w:val="Nivel2"/>
        <w:ind w:left="0" w:firstLine="567"/>
        <w:rPr>
          <w:color w:val="000000"/>
          <w:szCs w:val="21"/>
        </w:rPr>
      </w:pPr>
      <w:r>
        <w:rPr>
          <w:color w:val="000000"/>
          <w:szCs w:val="21"/>
        </w:rPr>
      </w:r>
    </w:p>
    <w:p>
      <w:pPr>
        <w:pStyle w:val="Nivel2"/>
        <w:tabs>
          <w:tab w:val="clear" w:pos="0"/>
          <w:tab w:val="left" w:pos="1134" w:leader="none"/>
        </w:tabs>
        <w:jc w:val="right"/>
        <w:rPr>
          <w:szCs w:val="21"/>
        </w:rPr>
      </w:pPr>
      <w:r>
        <w:rPr>
          <w:i/>
          <w:iCs/>
          <w:color w:val="auto"/>
          <w:szCs w:val="21"/>
        </w:rPr>
        <w:t>São José dos Pinhais,</w:t>
      </w:r>
      <w:r>
        <w:rPr>
          <w:i/>
          <w:iCs/>
          <w:color w:val="FF0000"/>
          <w:szCs w:val="21"/>
        </w:rPr>
        <w:t>[dia]</w:t>
      </w:r>
      <w:r>
        <w:rPr>
          <w:i/>
          <w:iCs/>
          <w:color w:val="auto"/>
          <w:szCs w:val="21"/>
        </w:rPr>
        <w:t>de</w:t>
      </w:r>
      <w:r>
        <w:rPr>
          <w:i/>
          <w:iCs/>
          <w:color w:val="FF0000"/>
          <w:szCs w:val="21"/>
        </w:rPr>
        <w:t xml:space="preserve">[mês] </w:t>
      </w:r>
      <w:r>
        <w:rPr>
          <w:i/>
          <w:iCs/>
          <w:color w:val="auto"/>
          <w:szCs w:val="21"/>
        </w:rPr>
        <w:t>de</w:t>
      </w:r>
      <w:r>
        <w:rPr>
          <w:i/>
          <w:iCs/>
          <w:color w:val="FF0000"/>
          <w:szCs w:val="21"/>
        </w:rPr>
        <w:t>[ano].</w:t>
      </w:r>
    </w:p>
    <w:p>
      <w:pPr>
        <w:pStyle w:val="Normal"/>
        <w:spacing w:lineRule="auto" w:line="276" w:before="0" w:after="240"/>
        <w:rPr>
          <w:rFonts w:ascii="Arial" w:hAnsi="Arial"/>
          <w:sz w:val="21"/>
          <w:szCs w:val="21"/>
        </w:rPr>
      </w:pPr>
      <w:r>
        <w:rPr>
          <w:rFonts w:cs="Arial" w:ascii="Arial" w:hAnsi="Arial"/>
          <w:sz w:val="21"/>
          <w:szCs w:val="21"/>
        </w:rPr>
        <w:t>TESTEMUNHAS:</w:t>
      </w:r>
    </w:p>
    <w:p>
      <w:pPr>
        <w:pStyle w:val="Normal"/>
        <w:spacing w:lineRule="auto" w:line="276" w:before="0" w:after="240"/>
        <w:ind w:left="4536" w:hanging="0"/>
        <w:jc w:val="center"/>
        <w:rPr>
          <w:rFonts w:ascii="Arial" w:hAnsi="Arial"/>
          <w:sz w:val="21"/>
          <w:szCs w:val="21"/>
        </w:rPr>
      </w:pPr>
      <w:r>
        <w:rPr>
          <w:rFonts w:cs="Arial" w:ascii="Arial" w:hAnsi="Arial"/>
          <w:sz w:val="21"/>
          <w:szCs w:val="21"/>
        </w:rPr>
        <w:t>MARGARIDA MARIA SINGER</w:t>
      </w:r>
    </w:p>
    <w:p>
      <w:pPr>
        <w:pStyle w:val="Normal"/>
        <w:spacing w:lineRule="auto" w:line="276" w:before="0" w:after="240"/>
        <w:ind w:left="4536" w:hanging="0"/>
        <w:jc w:val="center"/>
        <w:rPr>
          <w:rFonts w:ascii="Arial" w:hAnsi="Arial"/>
          <w:sz w:val="21"/>
          <w:szCs w:val="21"/>
        </w:rPr>
      </w:pPr>
      <w:r>
        <w:rPr>
          <w:rFonts w:cs="Arial" w:ascii="Arial" w:hAnsi="Arial"/>
          <w:sz w:val="21"/>
          <w:szCs w:val="21"/>
        </w:rPr>
        <w:t>(NINA SINGER)</w:t>
      </w:r>
    </w:p>
    <w:p>
      <w:pPr>
        <w:pStyle w:val="Normal"/>
        <w:spacing w:lineRule="auto" w:line="276" w:before="0" w:after="240"/>
        <w:ind w:left="4536" w:hanging="0"/>
        <w:jc w:val="center"/>
        <w:rPr>
          <w:rFonts w:ascii="Arial" w:hAnsi="Arial"/>
          <w:sz w:val="21"/>
          <w:szCs w:val="21"/>
        </w:rPr>
      </w:pPr>
      <w:r>
        <w:rPr>
          <w:rFonts w:cs="Arial" w:ascii="Arial" w:hAnsi="Arial"/>
          <w:sz w:val="21"/>
          <w:szCs w:val="21"/>
        </w:rPr>
        <w:t>PREFEITA MUNICIPAL</w:t>
      </w:r>
    </w:p>
    <w:p>
      <w:pPr>
        <w:pStyle w:val="Normal"/>
        <w:spacing w:lineRule="auto" w:line="276" w:before="0" w:after="240"/>
        <w:ind w:left="4536" w:hanging="0"/>
        <w:jc w:val="center"/>
        <w:rPr>
          <w:rFonts w:ascii="Arial" w:hAnsi="Arial"/>
          <w:sz w:val="21"/>
          <w:szCs w:val="21"/>
        </w:rPr>
      </w:pPr>
      <w:r>
        <w:rPr>
          <w:rFonts w:cs="Arial" w:ascii="Arial" w:hAnsi="Arial"/>
          <w:sz w:val="21"/>
          <w:szCs w:val="21"/>
        </w:rPr>
        <w:t>------------------------</w:t>
      </w:r>
    </w:p>
    <w:p>
      <w:pPr>
        <w:pStyle w:val="Normal"/>
        <w:spacing w:lineRule="auto" w:line="276" w:before="0" w:after="240"/>
        <w:ind w:left="4536" w:hanging="0"/>
        <w:jc w:val="center"/>
        <w:rPr>
          <w:rFonts w:ascii="Arial" w:hAnsi="Arial"/>
          <w:sz w:val="21"/>
          <w:szCs w:val="21"/>
        </w:rPr>
      </w:pPr>
      <w:r>
        <w:rPr>
          <w:rFonts w:cs="Arial" w:ascii="Arial" w:hAnsi="Arial"/>
          <w:sz w:val="21"/>
          <w:szCs w:val="21"/>
        </w:rPr>
        <w:t>SECRETÁRIA MUNICIPAL DE --------------</w:t>
      </w:r>
    </w:p>
    <w:p>
      <w:pPr>
        <w:pStyle w:val="Normal"/>
        <w:spacing w:lineRule="auto" w:line="276" w:before="0" w:after="240"/>
        <w:ind w:left="4536" w:hanging="0"/>
        <w:jc w:val="center"/>
        <w:rPr>
          <w:rFonts w:ascii="Arial" w:hAnsi="Arial"/>
          <w:sz w:val="21"/>
          <w:szCs w:val="21"/>
        </w:rPr>
      </w:pPr>
      <w:r>
        <w:rPr>
          <w:rFonts w:cs="Arial" w:ascii="Arial" w:hAnsi="Arial"/>
          <w:sz w:val="21"/>
          <w:szCs w:val="21"/>
        </w:rPr>
        <w:t>______________________</w:t>
      </w:r>
    </w:p>
    <w:p>
      <w:pPr>
        <w:pStyle w:val="Normal"/>
        <w:spacing w:lineRule="auto" w:line="276" w:before="0" w:after="240"/>
        <w:ind w:left="4536" w:hanging="0"/>
        <w:jc w:val="center"/>
        <w:rPr>
          <w:rFonts w:ascii="Arial" w:hAnsi="Arial"/>
          <w:sz w:val="21"/>
          <w:szCs w:val="21"/>
        </w:rPr>
      </w:pPr>
      <w:r>
        <w:rPr>
          <w:rFonts w:cs="Arial" w:ascii="Arial" w:hAnsi="Arial"/>
          <w:sz w:val="21"/>
          <w:szCs w:val="21"/>
        </w:rPr>
        <w:t>Representante legal do CONTRATADO</w:t>
      </w:r>
    </w:p>
    <w:sectPr>
      <w:headerReference w:type="default" r:id="rId43"/>
      <w:footerReference w:type="default" r:id="rId44"/>
      <w:type w:val="nextPage"/>
      <w:pgSz w:w="11906" w:h="16838"/>
      <w:pgMar w:left="1559" w:right="1134" w:header="709" w:top="1985"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b/>
          <w:bCs/>
          <w:color w:val="000000"/>
          <w:lang w:val="en-US" w:eastAsia="en-US" w:bidi="en-US"/>
        </w:rPr>
        <w:t xml:space="preserve">NOTAS EXPLICATIVAS – </w:t>
      </w:r>
      <w:r>
        <w:rPr>
          <w:rFonts w:ascii="Liberation Serif" w:hAnsi="Liberation Serif"/>
          <w:b/>
          <w:bCs/>
          <w:color w:val="FF0000"/>
          <w:lang w:val="en-US" w:eastAsia="en-US" w:bidi="en-US"/>
        </w:rPr>
        <w:t>LEITURA OBRIGATÓRIA</w:t>
      </w:r>
    </w:p>
    <w:p>
      <w:r>
        <w:rPr>
          <w:rFonts w:ascii="Liberation Serif" w:hAnsi="Liberation Serif"/>
          <w:i/>
          <w:iCs/>
          <w:color w:val="000000"/>
          <w:lang w:val="en-US" w:eastAsia="en-US" w:bidi="en-US"/>
        </w:rPr>
        <w:t xml:space="preserve">Os itens deste modelo de Edital, destacados em </w:t>
      </w:r>
      <w:r>
        <w:rPr>
          <w:rFonts w:ascii="Liberation Serif" w:hAnsi="Liberation Serif"/>
          <w:i/>
          <w:iCs/>
          <w:color w:val="FF0000"/>
          <w:lang w:val="en-US" w:eastAsia="en-US" w:bidi="en-US"/>
        </w:rPr>
        <w:t>vermelho itálico</w:t>
      </w:r>
      <w:r>
        <w:rPr>
          <w:rFonts w:ascii="Liberation Serif" w:hAnsi="Liberation Serif"/>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i/>
          <w:iCs/>
          <w:color w:val="000000"/>
          <w:lang w:val="en-US" w:eastAsia="en-US" w:bidi="en-US"/>
        </w:rPr>
        <w:t>Alguns itens rece</w:t>
      </w:r>
      <w:r>
        <w:rPr>
          <w:rFonts w:ascii="Liberation Serif" w:hAnsi="Liberation Serif"/>
          <w:i/>
          <w:iCs/>
          <w:lang w:val="en-US" w:eastAsia="en-US" w:bidi="en-US"/>
        </w:rPr>
        <w:t>beram</w:t>
      </w:r>
      <w:r>
        <w:rPr>
          <w:rFonts w:ascii="Liberation Serif" w:hAnsi="Liberation Serif"/>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i/>
          <w:iCs/>
          <w:color w:val="000000"/>
          <w:lang w:val="en-US" w:eastAsia="en-US" w:bidi="en-US"/>
        </w:rPr>
        <w:t xml:space="preserve">Este modelo poderá ser adotado por todos os entes federados, conforme estabelece o </w:t>
      </w:r>
      <w:r>
        <w:fldChar w:fldCharType="begin"/>
      </w:r>
      <w:r>
        <w:instrText> HYPERLINK "http://www.planalto.gov.br/ccivil_03/_ato2019-2022/2021/lei/L14133.htm" \l "art19"</w:instrText>
      </w:r>
      <w:r>
        <w:fldChar w:fldCharType="separate"/>
      </w:r>
      <w:r>
        <w:rPr>
          <w:rFonts w:ascii="Liberation Serif" w:hAnsi="Liberation Serif"/>
          <w:i/>
          <w:iCs/>
          <w:color w:val="000000"/>
          <w:lang w:val="en-US" w:eastAsia="en-US" w:bidi="en-US"/>
        </w:rPr>
        <w:t>inciso IV do art. 19 da Lei nº 14.133, de 1º de abril de 2021</w:t>
      </w:r>
      <w:r>
        <w:fldChar w:fldCharType="end"/>
      </w:r>
      <w:r>
        <w:rPr>
          <w:rFonts w:ascii="Liberation Serif" w:hAnsi="Liberation Serif"/>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i/>
          <w:iCs/>
          <w:color w:val="000000"/>
          <w:lang w:val="en-US" w:eastAsia="en-US" w:bidi="en-US"/>
        </w:rPr>
        <w:t xml:space="preserve">Se não for utilizado o sistema de registro de preços, exclua todas as disposições destacadas em </w:t>
      </w:r>
      <w:r>
        <w:rPr>
          <w:rFonts w:ascii="Liberation Serif" w:hAnsi="Liberation Serif"/>
          <w:lang w:val="en-US" w:eastAsia="en-US" w:bidi="en-US"/>
        </w:rPr>
        <w:t>azul</w:t>
      </w:r>
      <w:r>
        <w:rPr>
          <w:rFonts w:ascii="Liberation Serif" w:hAnsi="Liberation Serif"/>
          <w:i/>
          <w:iCs/>
          <w:color w:val="000000"/>
          <w:lang w:val="en-US" w:eastAsia="en-US" w:bidi="en-US"/>
        </w:rPr>
        <w:t>. Se for adotado o SRP, mantenha tais cláusulas.</w:t>
      </w:r>
    </w:p>
    <w:p>
      <w:r>
        <w:rPr>
          <w:rFonts w:ascii="Liberation Serif" w:hAnsi="Liberation Serif"/>
          <w:lang w:val="en-US" w:eastAsia="en-US" w:bidi="en-US"/>
        </w:rPr>
      </w:r>
    </w:p>
  </w:comment>
  <w:comment w:id="1"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fldChar w:fldCharType="begin"/>
      </w:r>
      <w:r>
        <w:instrText> HYPERLINK "http://www.planalto.gov.br/ccivil_03/_ato2019-2022/2021/lei/L14133.htm" \l "art55"</w:instrText>
      </w:r>
      <w:r>
        <w:fldChar w:fldCharType="separate"/>
      </w:r>
      <w:r>
        <w:rPr>
          <w:rFonts w:ascii="Liberation Serif" w:hAnsi="Liberation Serif"/>
          <w:i/>
          <w:iCs/>
          <w:color w:val="000000"/>
          <w:lang w:val="en-US" w:eastAsia="en-US" w:bidi="en-US"/>
        </w:rPr>
        <w:t>Art. 55, I, a, e II, a, da Lei nº 14.133, de 2021</w:t>
      </w:r>
      <w:r>
        <w:fldChar w:fldCharType="end"/>
      </w:r>
      <w:r>
        <w:rPr>
          <w:rFonts w:ascii="Liberation Serif" w:hAnsi="Liberation Serif"/>
          <w:i/>
          <w:iCs/>
          <w:color w:val="000000"/>
          <w:lang w:val="en-US" w:eastAsia="en-US" w:bidi="en-US"/>
        </w:rPr>
        <w:t>). Esse prazo poderá, mediante decisão fundamentada, ser reduzido até a metade nas licitações realizadas pelo Ministério da Saúde, no âmbito do Sistema Único de Saúde – SUS (</w:t>
      </w:r>
      <w:r>
        <w:fldChar w:fldCharType="begin"/>
      </w:r>
      <w:r>
        <w:instrText> HYPERLINK "http://www.planalto.gov.br/ccivil_03/_ato2019-2022/2021/lei/L14133.htm" \l "art55§2"</w:instrText>
      </w:r>
      <w:r>
        <w:fldChar w:fldCharType="separate"/>
      </w:r>
      <w:r>
        <w:rPr>
          <w:rFonts w:ascii="Liberation Serif" w:hAnsi="Liberation Serif"/>
          <w:i/>
          <w:iCs/>
          <w:color w:val="000000"/>
          <w:lang w:val="en-US" w:eastAsia="en-US" w:bidi="en-US"/>
        </w:rPr>
        <w:t>Art. 55, §2º, da Lei nº 14.133, de 2021</w:t>
      </w:r>
      <w:r>
        <w:fldChar w:fldCharType="end"/>
      </w:r>
      <w:r>
        <w:rPr>
          <w:rFonts w:ascii="Liberation Serif" w:hAnsi="Liberation Serif"/>
          <w:i/>
          <w:iCs/>
          <w:color w:val="000000"/>
          <w:lang w:val="en-US" w:eastAsia="en-US" w:bidi="en-US"/>
        </w:rPr>
        <w:t>). Sempre é importante confirmar o prazo correto no art. 55 da Lei.</w:t>
      </w:r>
    </w:p>
  </w:comment>
  <w:comment w:id="3"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Deve a autoridade indicar o número de itens a serem licitados. </w:t>
      </w:r>
    </w:p>
  </w:comment>
  <w:comment w:id="2"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w:t>
      </w:r>
      <w:r>
        <w:rPr>
          <w:rFonts w:ascii="Liberation Serif" w:hAnsi="Liberation Serif"/>
          <w:lang w:val="en-US" w:eastAsia="en-US" w:bidi="en-US"/>
        </w:rPr>
        <w:t>Nessa hipótese, se se tratar de registro de preços, será necessário fixar o critério de aceitabilidade de preços unitários máximos, conforme art. 13, I, do Decreto nº 11.462/2023</w:t>
      </w:r>
    </w:p>
  </w:comment>
  <w:comment w:id="4"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w:t>
      </w:r>
      <w:r>
        <w:rPr>
          <w:rFonts w:ascii="Liberation Serif" w:hAnsi="Liberation Serif"/>
          <w:lang w:val="en-US" w:eastAsia="en-US" w:bidi="en-US"/>
        </w:rPr>
        <w:t>Adotar esse item somente se a licitação for para registro de preços.</w:t>
      </w:r>
    </w:p>
  </w:comment>
  <w:comment w:id="5" w:author="Autor" w:date="0-00-00T00:00:00Z" w:initials="A">
    <w:p>
      <w:r>
        <w:rPr>
          <w:rFonts w:ascii="Liberation Serif" w:hAnsi="Liberation Serif"/>
          <w:lang w:val="en-US" w:eastAsia="en-US" w:bidi="en-US"/>
        </w:rPr>
        <w:t>Conforme §1° do art. 265 do Decreto Municipal 5.807/2023.</w:t>
      </w:r>
    </w:p>
  </w:comment>
  <w:comment w:id="6" w:author="Autor" w:date="0-00-00T00:00:00Z" w:initials="A">
    <w:p>
      <w:r>
        <w:rPr>
          <w:rFonts w:ascii="Liberation Serif" w:hAnsi="Liberation Serif"/>
          <w:lang w:val="en-US" w:eastAsia="en-US" w:bidi="en-US"/>
        </w:rPr>
        <w:t>Texto incluído através do Paracer Jurídico n.° 1364/2023.</w:t>
      </w:r>
    </w:p>
  </w:comment>
  <w:comment w:id="7" w:author="Autor" w:date="0-00-00T00:00:00Z" w:initials="A">
    <w:p>
      <w:r>
        <w:rPr>
          <w:rFonts w:ascii="Liberation Serif" w:hAnsi="Liberation Serif"/>
          <w:lang w:val="en-US" w:eastAsia="en-US" w:bidi="en-US"/>
        </w:rPr>
        <w:t>Nota explicativa:Conforme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r>
        <w:rPr>
          <w:rFonts w:ascii="Liberation Serif" w:hAnsi="Liberation Serif"/>
          <w:lang w:val="en-US" w:eastAsia="en-US" w:bidi="en-US"/>
        </w:rPr>
        <w:t xml:space="preserve">    a) os empregados do contratado fiquem à disposição nas dependências do contratante para a prestação dos serviços;</w:t>
      </w:r>
    </w:p>
    <w:p>
      <w:r>
        <w:rPr>
          <w:rFonts w:ascii="Liberation Serif" w:hAnsi="Liberation Serif"/>
          <w:lang w:val="en-US" w:eastAsia="en-US" w:bidi="en-US"/>
        </w:rPr>
        <w:t xml:space="preserve">    b) o contratado não compartilhe os recursos humanos e materiais disponíveis de uma contratação para execução simultânea de outros contratos;</w:t>
      </w:r>
    </w:p>
    <w:p>
      <w:r>
        <w:rPr>
          <w:rFonts w:ascii="Liberation Serif" w:hAnsi="Liberation Serif"/>
          <w:lang w:val="en-US" w:eastAsia="en-US" w:bidi="en-US"/>
        </w:rPr>
        <w:t xml:space="preserve">    c) o contratado possibilite a fiscalização pelo contratante quanto à distribuição, controle e supervisão dos recursos humanos alocados aos seus contratos.</w:t>
      </w:r>
    </w:p>
    <w:p>
      <w:r>
        <w:rPr>
          <w:rFonts w:ascii="Liberation Serif" w:hAnsi="Liberation Serif"/>
          <w:lang w:val="en-US" w:eastAsia="en-US" w:bidi="en-US"/>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8"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É importante que sejam indicados os meios para a recepção das impugnações e pedidos de esclarecimentos.</w:t>
      </w:r>
    </w:p>
  </w:comment>
  <w:comment w:id="9"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A atribuição para concessão do efeito suspensivo foi conferida ao agente de contratação pelo </w:t>
      </w:r>
      <w:hyperlink r:id="rId1">
        <w:r>
          <w:rPr>
            <w:rFonts w:ascii="Liberation Serif" w:hAnsi="Liberation Serif"/>
            <w:i/>
            <w:iCs/>
            <w:color w:val="000000"/>
            <w:lang w:val="en-US" w:eastAsia="en-US" w:bidi="en-US"/>
          </w:rPr>
          <w:t>§ 2º do artigo 16 da IN SEGES nº 73, de 2022</w:t>
        </w:r>
      </w:hyperlink>
      <w:r>
        <w:rPr>
          <w:rFonts w:ascii="Liberation Serif" w:hAnsi="Liberation Serif"/>
          <w:i/>
          <w:iCs/>
          <w:color w:val="000000"/>
          <w:lang w:val="en-US" w:eastAsia="en-US" w:bidi="en-US"/>
        </w:rPr>
        <w:t xml:space="preserve">. </w:t>
      </w:r>
    </w:p>
    <w:p>
      <w:r>
        <w:rPr>
          <w:rFonts w:ascii="Liberation Serif" w:hAnsi="Liberation Serif"/>
          <w:i/>
          <w:iCs/>
          <w:color w:val="000000"/>
          <w:lang w:val="en-US" w:eastAsia="en-US" w:bidi="en-US"/>
        </w:rPr>
        <w:t>Decreto Municipal n.° 5.807/2023, artigo 13 §9° “Sempre que a impugnação resultar na modificação do instrumento convocatório, a decisão deverá ser subscrita pelo agente de contratação, pregoaiero ou a comissão de contratação em conjunto com o agente que assinou o instrumento convocatório.”.</w:t>
      </w:r>
    </w:p>
  </w:comment>
  <w:comment w:id="10" w:author="Autor" w:date="0-00-00T00:00:00Z" w:initials="A">
    <w:p>
      <w:r>
        <w:rPr>
          <w:rFonts w:ascii="Liberation Serif" w:hAnsi="Liberation Serif"/>
          <w:b/>
          <w:bCs/>
          <w:i/>
          <w:iCs/>
          <w:color w:val="000000"/>
          <w:lang w:val="en-US" w:eastAsia="en-US" w:bidi="en-US"/>
        </w:rPr>
        <w:t xml:space="preserve">Nota explicativa: </w:t>
      </w:r>
      <w:r>
        <w:rPr>
          <w:rFonts w:ascii="Liberation Serif" w:hAnsi="Liberation Serif"/>
          <w:i/>
          <w:iCs/>
          <w:color w:val="000000"/>
          <w:lang w:val="en-US" w:eastAsia="en-US" w:bidi="en-US"/>
        </w:rPr>
        <w:t xml:space="preserve">A fase de habilitação poderá, mediante ato motivado com explicitação dos benefícios decorrentes, anteceder as fases de apresentação de propostas e lances, nos termos do </w:t>
      </w:r>
      <w:r>
        <w:fldChar w:fldCharType="begin"/>
      </w:r>
      <w:r>
        <w:instrText> HYPERLINK "http://www.planalto.gov.br/ccivil_03/_ato2019-2022/2021/lei/L14133.htm" \l "art17§1"</w:instrText>
      </w:r>
      <w:r>
        <w:fldChar w:fldCharType="separate"/>
      </w:r>
      <w:r>
        <w:rPr>
          <w:rFonts w:ascii="Liberation Serif" w:hAnsi="Liberation Serif"/>
          <w:i/>
          <w:iCs/>
          <w:color w:val="000000"/>
          <w:lang w:val="en-US" w:eastAsia="en-US" w:bidi="en-US"/>
        </w:rPr>
        <w:t>art. 17, §1º, da Lei nº 14.133, de 2021</w:t>
      </w:r>
      <w:r>
        <w:fldChar w:fldCharType="end"/>
      </w:r>
      <w:r>
        <w:rPr>
          <w:rFonts w:ascii="Liberation Serif" w:hAnsi="Liberation Serif"/>
          <w:i/>
          <w:iCs/>
          <w:color w:val="000000"/>
          <w:lang w:val="en-US" w:eastAsia="en-US" w:bidi="en-US"/>
        </w:rPr>
        <w:t xml:space="preserve">. No entanto, tal funcionalidade não está disponível ainda no sistema. Após a disponibilização e sendo essa a opção do órgão, utilizar a seguinte redação: </w:t>
      </w:r>
    </w:p>
    <w:p>
      <w:r>
        <w:rPr>
          <w:rFonts w:ascii="Liberation Serif" w:hAnsi="Liberation Serif"/>
          <w:i/>
          <w:iCs/>
          <w:color w:val="000000"/>
          <w:lang w:val="en-US" w:eastAsia="en-US" w:bidi="en-US"/>
        </w:rPr>
        <w:t>3.1.Na presente licitação, a fase de habilitação antecederá a fase de apresentação de propostas e lances.</w:t>
      </w:r>
    </w:p>
  </w:comment>
  <w:comment w:id="11"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12" w:author="Autor" w:date="0-00-00T00:00:00Z" w:initials="A">
    <w:p>
      <w:r>
        <w:rPr>
          <w:rFonts w:ascii="Liberation Serif" w:hAnsi="Liberation Serif"/>
          <w:lang w:val="en-US" w:eastAsia="en-US" w:bidi="en-US"/>
        </w:rPr>
        <w:t>Sugestão 27.03.2024</w:t>
      </w:r>
    </w:p>
  </w:comment>
  <w:comment w:id="13"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O </w:t>
      </w:r>
      <w:r>
        <w:fldChar w:fldCharType="begin"/>
      </w:r>
      <w:r>
        <w:instrText> HYPERLINK "https://www.gov.br/compras/pt-br/acesso-a-informacao/legislacao/instrucoes-normativas/instrucao-normativa-seges-me-no-73-de-30-de-setembro-de-2022" \l "art19"</w:instrText>
      </w:r>
      <w:r>
        <w:fldChar w:fldCharType="separate"/>
      </w:r>
      <w:r>
        <w:rPr>
          <w:rFonts w:ascii="Liberation Serif" w:hAnsi="Liberation Serif"/>
          <w:i/>
          <w:iCs/>
          <w:color w:val="000000"/>
          <w:lang w:val="en-US" w:eastAsia="en-US" w:bidi="en-US"/>
        </w:rPr>
        <w:t>artigo 19 da Instrução Normativa SEGES nº 73, de 30 de setembro de 2022</w:t>
      </w:r>
      <w:r>
        <w:fldChar w:fldCharType="end"/>
      </w:r>
      <w:r>
        <w:rPr>
          <w:rFonts w:ascii="Liberation Serif" w:hAnsi="Liberation Serif"/>
          <w:i/>
          <w:iCs/>
          <w:lang w:val="en-US" w:eastAsia="en-US" w:bidi="en-US"/>
        </w:rPr>
        <w:t xml:space="preserve">, </w:t>
      </w:r>
      <w:r>
        <w:rPr>
          <w:rFonts w:ascii="Liberation Serif" w:hAnsi="Liberation Serif"/>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14" w:author="Autor" w:date="0-00-00T00:00:00Z" w:initials="A">
    <w:p>
      <w:r>
        <w:rPr>
          <w:rFonts w:ascii="Liberation Serif" w:hAnsi="Liberation Serif"/>
          <w:b/>
          <w:bCs/>
          <w:i/>
          <w:iCs/>
          <w:color w:val="000000"/>
          <w:lang w:val="en-US" w:eastAsia="en-US" w:bidi="en-US"/>
        </w:rPr>
        <w:t xml:space="preserve">Nota Explicativa: </w:t>
      </w:r>
      <w:r>
        <w:rPr>
          <w:rFonts w:ascii="Liberation Serif" w:hAnsi="Liberation Serif"/>
          <w:i/>
          <w:iCs/>
          <w:color w:val="000000"/>
          <w:lang w:val="en-US" w:eastAsia="en-US" w:bidi="en-US"/>
        </w:rPr>
        <w:t xml:space="preserve">O prazo de validade da proposta deve ser indicado no edital, em decorrência do disposto no </w:t>
      </w:r>
      <w:r>
        <w:fldChar w:fldCharType="begin"/>
      </w:r>
      <w:r>
        <w:instrText> HYPERLINK "http://www.planalto.gov.br/ccivil_03/_ato2019-2022/2021/lei/L14133.htm" \l "art90§3"</w:instrText>
      </w:r>
      <w:r>
        <w:fldChar w:fldCharType="separate"/>
      </w:r>
      <w:r>
        <w:rPr>
          <w:rFonts w:ascii="Liberation Serif" w:hAnsi="Liberation Serif"/>
          <w:i/>
          <w:iCs/>
          <w:color w:val="000000"/>
          <w:lang w:val="en-US" w:eastAsia="en-US" w:bidi="en-US"/>
        </w:rPr>
        <w:t>art. 90, §3º, e art. 155, VI, da Lei nº 14.133, de 2021</w:t>
      </w:r>
      <w:r>
        <w:fldChar w:fldCharType="end"/>
      </w:r>
      <w:r>
        <w:rPr>
          <w:rFonts w:ascii="Liberation Serif" w:hAnsi="Liberation Serif"/>
          <w:i/>
          <w:iCs/>
          <w:color w:val="000000"/>
          <w:lang w:val="en-US" w:eastAsia="en-US" w:bidi="en-US"/>
        </w:rPr>
        <w:t>. Contudo, a Lei de Licitações não fixou esse prazo. Por isso, a Administração deverá fixar o prazo de acordo com as peculiaridades da licitação. Desde já, indicamos, como sugestão, o prazo de 90 (noventa dias).</w:t>
      </w:r>
    </w:p>
  </w:comment>
  <w:comment w:id="15" w:author="Autor" w:date="0-00-00T00:00:00Z" w:initials="A">
    <w:p>
      <w:r>
        <w:rPr>
          <w:rFonts w:ascii="Liberation Serif" w:hAnsi="Liberation Serif"/>
          <w:lang w:val="en-US" w:eastAsia="en-US" w:bidi="en-US"/>
        </w:rPr>
        <w:t>Nota explicativa: Conforme especificações do sistema operacional, a etapa de lances sempre acontece por item e os lances são enviados sempre por valor unitário.</w:t>
      </w:r>
    </w:p>
  </w:comment>
  <w:comment w:id="16" w:author="Autor" w:date="0-00-00T00:00:00Z" w:initials="A">
    <w:p>
      <w:r>
        <w:rPr>
          <w:rFonts w:ascii="Liberation Serif" w:hAnsi="Liberation Serif"/>
          <w:b/>
          <w:bCs/>
          <w:i/>
          <w:iCs/>
          <w:color w:val="000000"/>
          <w:lang w:val="en-US" w:eastAsia="en-US" w:bidi="en-US"/>
        </w:rPr>
        <w:t xml:space="preserve">Nota Explicativa: </w:t>
      </w:r>
      <w:r>
        <w:rPr>
          <w:rFonts w:ascii="Liberation Serif" w:hAnsi="Liberation Serif"/>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17"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O prazo de duas horas é o mínimo possível, podendo ser aumentado caso a Administração entenda pertinente, conforme </w:t>
      </w:r>
      <w:hyperlink r:id="rId2">
        <w:r>
          <w:rPr>
            <w:rFonts w:ascii="Liberation Serif" w:hAnsi="Liberation Serif"/>
            <w:i/>
            <w:iCs/>
            <w:color w:val="000000"/>
            <w:lang w:val="en-US" w:eastAsia="en-US" w:bidi="en-US"/>
          </w:rPr>
          <w:t>art. 29, § 2º, da IN SEGES nº 73, de 30 de setembro de 2022</w:t>
        </w:r>
      </w:hyperlink>
      <w:r>
        <w:rPr>
          <w:rFonts w:ascii="Liberation Serif" w:hAnsi="Liberation Serif"/>
          <w:i/>
          <w:iCs/>
          <w:color w:val="000000"/>
          <w:lang w:val="en-US" w:eastAsia="en-US" w:bidi="en-US"/>
        </w:rPr>
        <w:t>.</w:t>
      </w:r>
    </w:p>
  </w:comment>
  <w:comment w:id="18"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 xml:space="preserve"> A recomendação de consulta a esses cadastros se dá à luz do </w:t>
      </w:r>
      <w:r>
        <w:fldChar w:fldCharType="begin"/>
      </w:r>
      <w:r>
        <w:instrText> HYPERLINK "http://www.planalto.gov.br/ccivil_03/_ato2019-2022/2021/lei/L14133.htm" \l "art91§4"</w:instrText>
      </w:r>
      <w:r>
        <w:fldChar w:fldCharType="separate"/>
      </w:r>
      <w:r>
        <w:rPr>
          <w:rFonts w:ascii="Liberation Serif" w:hAnsi="Liberation Serif"/>
          <w:i/>
          <w:iCs/>
          <w:lang w:val="en-US" w:eastAsia="en-US" w:bidi="en-US"/>
        </w:rPr>
        <w:t>§ 4º do art. 91, da Lei nº 14.133, de 2021</w:t>
      </w:r>
      <w:r>
        <w:fldChar w:fldCharType="end"/>
      </w:r>
      <w:r>
        <w:rPr>
          <w:rFonts w:ascii="Liberation Serif" w:hAnsi="Liberation Serif"/>
          <w:i/>
          <w:iCs/>
          <w:lang w:val="en-US" w:eastAsia="en-US" w:bidi="en-US"/>
        </w:rPr>
        <w:t>, sem prejuízo da possibilidade, a critério do órgão respectivo, de consulta complementar a outros cadastros análogos, tais como os mantidos pelo Tribunal de Contas da União – TCU.</w:t>
      </w:r>
    </w:p>
  </w:comment>
  <w:comment w:id="19" w:author="Autor" w:date="0-00-00T00:00:00Z" w:initials="A">
    <w:p>
      <w:r>
        <w:rPr>
          <w:rFonts w:ascii="Liberation Serif" w:hAnsi="Liberation Serif"/>
          <w:b/>
          <w:bCs/>
          <w:i/>
          <w:iCs/>
          <w:lang w:val="en-US" w:eastAsia="en-US" w:bidi="en-US"/>
        </w:rPr>
        <w:t>Nota explicativa 1</w:t>
      </w:r>
      <w:r>
        <w:rPr>
          <w:rFonts w:ascii="Liberation Serif" w:hAnsi="Liberation Serif"/>
          <w:i/>
          <w:iCs/>
          <w:lang w:val="en-US" w:eastAsia="en-US" w:bidi="en-US"/>
        </w:rPr>
        <w:t>: A decisão quanto à exigência de amostra e suas especificidades consta do Termo de Referência.</w:t>
      </w:r>
    </w:p>
  </w:comment>
  <w:comment w:id="20" w:author="Autor" w:date="0-00-00T00:00:00Z" w:initials="A">
    <w:p>
      <w:r>
        <w:rPr>
          <w:rFonts w:ascii="Liberation Serif" w:hAnsi="Liberation Serif"/>
          <w:lang w:val="en-US" w:eastAsia="en-US" w:bidi="en-US"/>
        </w:rPr>
      </w:r>
    </w:p>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A Instrução Normativa </w:t>
      </w:r>
      <w:hyperlink r:id="rId3">
        <w:r>
          <w:rPr>
            <w:rFonts w:ascii="Liberation Serif" w:hAnsi="Liberation Serif"/>
            <w:i/>
            <w:iCs/>
            <w:color w:val="000000"/>
            <w:lang w:val="en-US" w:eastAsia="en-US" w:bidi="en-US"/>
          </w:rPr>
          <w:t>SEGES/ME nº 116, de 21 de dezembro de 2021</w:t>
        </w:r>
      </w:hyperlink>
      <w:r>
        <w:rPr>
          <w:rFonts w:ascii="Liberation Serif" w:hAnsi="Liberation Serif"/>
          <w:i/>
          <w:iCs/>
          <w:color w:val="000000"/>
          <w:lang w:val="en-US" w:eastAsia="en-US" w:bidi="en-US"/>
        </w:rPr>
        <w:t xml:space="preserve">, estabelece procedimentos para a participação de pessoa física nas contratações públicas regidas pela </w:t>
      </w:r>
      <w:hyperlink r:id="rId4">
        <w:r>
          <w:rPr>
            <w:rFonts w:ascii="Liberation Serif" w:hAnsi="Liberation Serif"/>
            <w:i/>
            <w:iCs/>
            <w:color w:val="000000"/>
            <w:lang w:val="en-US" w:eastAsia="en-US" w:bidi="en-US"/>
          </w:rPr>
          <w:t>Lei nº 14.133, de 2021</w:t>
        </w:r>
      </w:hyperlink>
      <w:r>
        <w:rPr>
          <w:rFonts w:ascii="Liberation Serif" w:hAnsi="Liberation Serif"/>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i/>
          <w:iCs/>
          <w:color w:val="000000"/>
          <w:lang w:val="en-US" w:eastAsia="en-US" w:bidi="en-US"/>
        </w:rPr>
        <w:t xml:space="preserve">A </w:t>
      </w:r>
      <w:hyperlink r:id="rId5">
        <w:r>
          <w:rPr>
            <w:rFonts w:ascii="Liberation Serif" w:hAnsi="Liberation Serif"/>
            <w:i/>
            <w:iCs/>
            <w:color w:val="000000"/>
            <w:lang w:val="en-US" w:eastAsia="en-US" w:bidi="en-US"/>
          </w:rPr>
          <w:t>IN SEGES/ME nº 116, de 2021</w:t>
        </w:r>
      </w:hyperlink>
      <w:r>
        <w:rPr>
          <w:rFonts w:ascii="Liberation Serif" w:hAnsi="Liberation Serif"/>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b/>
          <w:bCs/>
          <w:i/>
          <w:iCs/>
          <w:color w:val="000000"/>
          <w:lang w:val="en-US" w:eastAsia="en-US" w:bidi="en-US"/>
        </w:rPr>
        <w:t>capital social mínimo</w:t>
      </w:r>
      <w:r>
        <w:rPr>
          <w:rFonts w:ascii="Liberation Serif" w:hAnsi="Liberation Serif"/>
          <w:i/>
          <w:iCs/>
          <w:color w:val="000000"/>
          <w:lang w:val="en-US" w:eastAsia="en-US" w:bidi="en-US"/>
        </w:rPr>
        <w:t xml:space="preserve"> e </w:t>
      </w:r>
      <w:r>
        <w:rPr>
          <w:rFonts w:ascii="Liberation Serif" w:hAnsi="Liberation Serif"/>
          <w:b/>
          <w:bCs/>
          <w:i/>
          <w:iCs/>
          <w:color w:val="000000"/>
          <w:lang w:val="en-US" w:eastAsia="en-US" w:bidi="en-US"/>
        </w:rPr>
        <w:t>estrutura mínima</w:t>
      </w:r>
      <w:r>
        <w:rPr>
          <w:rFonts w:ascii="Liberation Serif" w:hAnsi="Liberation Serif"/>
          <w:i/>
          <w:iCs/>
          <w:color w:val="000000"/>
          <w:lang w:val="en-US" w:eastAsia="en-US" w:bidi="en-US"/>
        </w:rPr>
        <w:t xml:space="preserve">, com equipamentos, instalações e equipe de profissionais ou corpo técnico para a execução do objeto </w:t>
      </w:r>
      <w:r>
        <w:rPr>
          <w:rFonts w:ascii="Liberation Serif" w:hAnsi="Liberation Serif"/>
          <w:b/>
          <w:bCs/>
          <w:i/>
          <w:iCs/>
          <w:color w:val="000000"/>
          <w:lang w:val="en-US" w:eastAsia="en-US" w:bidi="en-US"/>
        </w:rPr>
        <w:t>incompatíveis com a natureza profissional da pessoa física</w:t>
      </w:r>
      <w:r>
        <w:rPr>
          <w:rFonts w:ascii="Liberation Serif" w:hAnsi="Liberation Serif"/>
          <w:i/>
          <w:iCs/>
          <w:color w:val="000000"/>
          <w:lang w:val="en-US" w:eastAsia="en-US" w:bidi="en-US"/>
        </w:rPr>
        <w:t xml:space="preserve">, conforme </w:t>
      </w:r>
      <w:r>
        <w:rPr>
          <w:rFonts w:ascii="Liberation Serif" w:hAnsi="Liberation Serif"/>
          <w:b/>
          <w:bCs/>
          <w:i/>
          <w:iCs/>
          <w:color w:val="000000"/>
          <w:lang w:val="en-US" w:eastAsia="en-US" w:bidi="en-US"/>
        </w:rPr>
        <w:t>demonstrado em estudo técnico preliminar</w:t>
      </w:r>
      <w:r>
        <w:rPr>
          <w:rFonts w:ascii="Liberation Serif" w:hAnsi="Liberation Serif"/>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i/>
          <w:iCs/>
          <w:color w:val="000000"/>
          <w:lang w:val="en-US" w:eastAsia="en-US" w:bidi="en-US"/>
        </w:rPr>
        <w:t xml:space="preserve">O </w:t>
      </w:r>
      <w:hyperlink r:id="rId6">
        <w:r>
          <w:rPr>
            <w:rFonts w:ascii="Liberation Serif" w:hAnsi="Liberation Serif"/>
            <w:i/>
            <w:iCs/>
            <w:color w:val="000000"/>
            <w:lang w:val="en-US" w:eastAsia="en-US" w:bidi="en-US"/>
          </w:rPr>
          <w:t>Decreto n.º 10.977, de 23 de fevereiro de 2022,</w:t>
        </w:r>
      </w:hyperlink>
      <w:r>
        <w:rPr>
          <w:rFonts w:ascii="Liberation Serif" w:hAnsi="Liberation Serif"/>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b/>
          <w:bCs/>
          <w:i/>
          <w:iCs/>
          <w:color w:val="000000"/>
          <w:lang w:val="en-US" w:eastAsia="en-US" w:bidi="en-US"/>
        </w:rPr>
        <w:t>caput </w:t>
      </w:r>
      <w:r>
        <w:rPr>
          <w:rFonts w:ascii="Liberation Serif" w:hAnsi="Liberation Serif"/>
          <w:i/>
          <w:iCs/>
          <w:color w:val="000000"/>
          <w:lang w:val="en-US" w:eastAsia="en-US" w:bidi="en-US"/>
        </w:rPr>
        <w:t>do seu art. 11.</w:t>
      </w:r>
    </w:p>
  </w:comment>
  <w:comment w:id="21" w:author="Autor" w:date="0-00-00T00:00:00Z" w:initials="A">
    <w:p>
      <w:r>
        <w:rPr>
          <w:rFonts w:ascii="Liberation Serif" w:hAnsi="Liberation Serif"/>
          <w:lang w:val="en-US" w:eastAsia="en-US" w:bidi="en-US"/>
        </w:rPr>
        <w:t>Texto ajustado através do Paracer Jurídico n.° 1364/2023.</w:t>
      </w:r>
    </w:p>
  </w:comment>
  <w:comment w:id="22" w:author="Autor" w:date="0-00-00T00:00:00Z" w:initials="A">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comment>
  <w:comment w:id="22" w:author="Autor" w:date="0-00-00T00:00:00Z" w:initials="A">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comment>
  <w:comment w:id="22" w:author="Autor" w:date="0-00-00T00:00:00Z" w:initials="A">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comment>
  <w:comment w:id="22" w:author="Autor" w:date="0-00-00T00:00:00Z" w:initials="A">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p>
      <w:r>
        <w:rPr>
          <w:rFonts w:ascii="Liberation Serif" w:hAnsi="Liberation Serif"/>
          <w:lang w:val="en-US" w:eastAsia="en-US" w:bidi="en-US"/>
        </w:rPr>
        <w:t>Texto incluído através do Paracer Jurídico n.° 1.364/2023.</w:t>
      </w:r>
    </w:p>
  </w:comment>
  <w:comment w:id="23" w:author="Autor" w:date="0-00-00T00:00:00Z" w:initials="A">
    <w:p>
      <w:r>
        <w:rPr>
          <w:rFonts w:ascii="Liberation Serif" w:hAnsi="Liberation Serif"/>
          <w:lang w:val="en-US" w:eastAsia="en-US" w:bidi="en-US"/>
        </w:rPr>
      </w:r>
    </w:p>
    <w:p>
      <w:r>
        <w:rPr>
          <w:rFonts w:ascii="Liberation Serif" w:hAnsi="Liberation Serif"/>
          <w:sz w:val="21"/>
          <w:szCs w:val="21"/>
          <w:lang w:val="en-US" w:eastAsia="en-US" w:bidi="en-US"/>
        </w:rPr>
        <w:t>Opção para licitações em que são admitidas a sua participação de PESSOA FÍSICA (</w:t>
      </w:r>
      <w:r>
        <w:fldChar w:fldCharType="begin"/>
      </w:r>
      <w:r>
        <w:instrText> HYPERLINK "https://www.gov.br/compras/pt-br/acesso-a-informacao/legislacao/instrucoes-normativas/instrucao-normativa-seges-me-no-116-de-21-de-dezembro-de-2021" \l "art5"</w:instrText>
      </w:r>
      <w:r>
        <w:fldChar w:fldCharType="separate"/>
      </w:r>
      <w:r>
        <w:rPr>
          <w:rFonts w:ascii="Liberation Serif" w:hAnsi="Liberation Serif"/>
          <w:sz w:val="21"/>
          <w:szCs w:val="21"/>
          <w:lang w:val="en-US" w:eastAsia="en-US" w:bidi="en-US"/>
        </w:rPr>
        <w:t>art. 5º, inciso II, alínea “c”, da Instrução Normativa Seges/ME nº 116, de 2021</w:t>
      </w:r>
      <w:r>
        <w:fldChar w:fldCharType="end"/>
      </w:r>
      <w:r>
        <w:rPr>
          <w:rFonts w:ascii="Liberation Serif" w:hAnsi="Liberation Serif"/>
          <w:sz w:val="21"/>
          <w:szCs w:val="21"/>
          <w:lang w:val="en-US" w:eastAsia="en-US" w:bidi="en-US"/>
        </w:rPr>
        <w:t>), ou de sociedade simples.</w:t>
      </w:r>
    </w:p>
  </w:comment>
  <w:comment w:id="24" w:author="Autor" w:date="0-00-00T00:00:00Z" w:initials="A">
    <w:p>
      <w:r>
        <w:rPr>
          <w:rFonts w:ascii="Liberation Serif" w:hAnsi="Liberation Serif"/>
          <w:lang w:val="en-US" w:eastAsia="en-US" w:bidi="en-US"/>
        </w:rPr>
        <w:t>Alteração proposta em 03.04.24</w:t>
      </w:r>
    </w:p>
  </w:comment>
  <w:comment w:id="25" w:author="Autor" w:date="0-00-00T00:00:00Z" w:initials="A">
    <w:p>
      <w:r>
        <w:rPr>
          <w:rFonts w:ascii="Liberation Serif" w:hAnsi="Liberation Serif"/>
          <w:b/>
          <w:bCs/>
          <w:i/>
          <w:iCs/>
          <w:color w:val="000000"/>
          <w:lang w:val="en-US" w:eastAsia="en-US" w:bidi="en-US"/>
        </w:rPr>
        <w:t xml:space="preserve">Nota explicativa: </w:t>
      </w:r>
      <w:r>
        <w:rPr>
          <w:rFonts w:ascii="Liberation Serif" w:hAnsi="Liberation Serif"/>
          <w:i/>
          <w:iCs/>
          <w:color w:val="000000"/>
          <w:lang w:val="en-US" w:eastAsia="en-US" w:bidi="en-US"/>
        </w:rPr>
        <w:t xml:space="preserve">O </w:t>
      </w:r>
      <w:hyperlink r:id="rId7">
        <w:r>
          <w:rPr>
            <w:rFonts w:ascii="Liberation Serif" w:hAnsi="Liberation Serif"/>
            <w:i/>
            <w:iCs/>
            <w:color w:val="000000"/>
            <w:lang w:val="en-US" w:eastAsia="en-US" w:bidi="en-US"/>
          </w:rPr>
          <w:t>artigo 18, §2º, da IN SEGES nº 73, de 30 de setembro de 2022</w:t>
        </w:r>
      </w:hyperlink>
      <w:r>
        <w:rPr>
          <w:rFonts w:ascii="Liberation Serif" w:hAnsi="Liberation Serif"/>
          <w:i/>
          <w:iCs/>
          <w:color w:val="000000"/>
          <w:lang w:val="en-US" w:eastAsia="en-US" w:bidi="en-US"/>
        </w:rPr>
        <w:t xml:space="preserve">, obriga a apresentação dessa declaração. </w:t>
      </w:r>
    </w:p>
  </w:comment>
  <w:comment w:id="26"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8">
        <w:r>
          <w:rPr>
            <w:rFonts w:ascii="Liberation Serif" w:hAnsi="Liberation Serif"/>
            <w:i/>
            <w:iCs/>
            <w:color w:val="000000"/>
            <w:lang w:val="en-US" w:eastAsia="en-US" w:bidi="en-US"/>
          </w:rPr>
          <w:t>Decreto nº 10.024/2019</w:t>
        </w:r>
      </w:hyperlink>
      <w:r>
        <w:rPr>
          <w:rFonts w:ascii="Liberation Serif" w:hAnsi="Liberation Serif"/>
          <w:i/>
          <w:iCs/>
          <w:color w:val="000000"/>
          <w:lang w:val="en-US" w:eastAsia="en-US" w:bidi="en-US"/>
        </w:rPr>
        <w:t>, está em consonância com a novel legislação.</w:t>
      </w:r>
    </w:p>
  </w:comment>
  <w:comment w:id="27" w:author="Autor" w:date="0-00-00T00:00:00Z" w:initials="A">
    <w:p>
      <w:r>
        <w:rPr>
          <w:rFonts w:ascii="Liberation Serif" w:hAnsi="Liberation Serif"/>
          <w:lang w:val="en-US" w:eastAsia="en-US" w:bidi="en-US"/>
        </w:rPr>
        <w:t>Sugenstão 27.03.2024</w:t>
      </w:r>
    </w:p>
  </w:comment>
  <w:comment w:id="28"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w:t>
      </w:r>
      <w:r>
        <w:rPr>
          <w:rFonts w:ascii="Liberation Serif" w:hAnsi="Liberation Serif"/>
          <w:lang w:val="en-US" w:eastAsia="en-US" w:bidi="en-US"/>
        </w:rPr>
        <w:t>Adotar esse item apenas se a licitação for para registro de preços.</w:t>
      </w:r>
    </w:p>
    <w:p>
      <w:r>
        <w:rPr>
          <w:rFonts w:ascii="Liberation Serif" w:hAnsi="Liberation Serif"/>
          <w:lang w:val="en-US" w:eastAsia="en-US" w:bidi="en-US"/>
        </w:rPr>
      </w:r>
    </w:p>
  </w:comment>
  <w:comment w:id="29"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w:t>
      </w:r>
      <w:r>
        <w:rPr>
          <w:rFonts w:ascii="Liberation Serif" w:hAnsi="Liberation Serif"/>
          <w:lang w:val="en-US" w:eastAsia="en-US" w:bidi="en-US"/>
        </w:rPr>
        <w:t>Conforme art. 19, § 1º, do Decreto nº 11.462/23.</w:t>
      </w:r>
    </w:p>
  </w:comment>
  <w:comment w:id="30" w:author="Autor" w:date="0-00-00T00:00:00Z" w:initials="A">
    <w:p>
      <w:r>
        <w:rPr>
          <w:rFonts w:ascii="Liberation Serif" w:hAnsi="Liberation Serif"/>
          <w:lang w:val="en-US" w:eastAsia="en-US" w:bidi="en-US"/>
        </w:rPr>
      </w:r>
    </w:p>
    <w:p>
      <w:r>
        <w:rPr>
          <w:rFonts w:ascii="Liberation Serif" w:hAnsi="Liberation Serif"/>
          <w:b/>
          <w:bCs/>
          <w:i/>
          <w:iCs/>
          <w:lang w:val="en-US" w:eastAsia="en-US" w:bidi="en-US"/>
        </w:rPr>
        <w:t>Nota explicativa</w:t>
      </w:r>
      <w:r>
        <w:rPr>
          <w:rFonts w:ascii="Liberation Serif" w:hAnsi="Liberation Serif"/>
          <w:i/>
          <w:iCs/>
          <w:lang w:val="en-US" w:eastAsia="en-US" w:bidi="en-US"/>
        </w:rPr>
        <w:t>:</w:t>
      </w:r>
      <w:r>
        <w:rPr>
          <w:rFonts w:ascii="Liberation Serif" w:hAnsi="Liberation Serif"/>
          <w:lang w:val="en-US" w:eastAsia="en-US" w:bidi="en-US"/>
        </w:rPr>
        <w:t>Conforme art. 18, § 4º, do Decreto nº 11.462/23.</w:t>
      </w:r>
    </w:p>
    <w:p>
      <w:r>
        <w:rPr>
          <w:rFonts w:ascii="Liberation Serif" w:hAnsi="Liberation Serif"/>
          <w:lang w:val="en-US" w:eastAsia="en-US" w:bidi="en-US"/>
        </w:rPr>
      </w:r>
    </w:p>
    <w:p>
      <w:r>
        <w:rPr>
          <w:rFonts w:ascii="Arial" w:hAnsi="Arial" w:cs="Arial"/>
          <w:b/>
          <w:lang w:val="en-US" w:eastAsia="en-US" w:bidi="en-US"/>
        </w:rPr>
        <w:t>Decreto Municipal 5.807/2023:</w:t>
      </w:r>
    </w:p>
    <w:p>
      <w:r>
        <w:rPr>
          <w:rFonts w:ascii="Arial" w:hAnsi="Arial" w:eastAsia="Times New Roman" w:cs="Arial"/>
          <w:bCs/>
          <w:lang w:val="pt-PT" w:eastAsia="en-US" w:bidi="en-US"/>
        </w:rPr>
        <w:t xml:space="preserve">Art. 353  </w:t>
      </w:r>
      <w:r>
        <w:rPr>
          <w:rFonts w:ascii="Arial" w:hAnsi="Arial" w:eastAsia="Times New Roman" w:cs="Arial"/>
          <w:lang w:val="pt-PT" w:eastAsia="en-US" w:bidi="en-US"/>
        </w:rPr>
        <w:t>Em âmbito municipal, enquanto não houver a plena integração do sistema eletrônico do Município com o Portal Nacional de Contratações Públicas (PNCP) a que se refere o art. 174 da Lei Federal nº 14.133/2021:</w:t>
      </w:r>
    </w:p>
    <w:p>
      <w:r>
        <w:rPr>
          <w:rFonts w:ascii="Liberation Serif" w:hAnsi="Liberation Serif"/>
          <w:lang w:val="en-US" w:eastAsia="en-US" w:bidi="en-US"/>
        </w:rPr>
      </w:r>
    </w:p>
    <w:p>
      <w:r>
        <w:rPr>
          <w:rFonts w:ascii="Arial" w:hAnsi="Arial" w:eastAsia="Times New Roman" w:cs="Arial"/>
          <w:lang w:val="pt-PT" w:eastAsia="en-US" w:bidi="en-US"/>
        </w:rPr>
        <w:t>I - quando a divulgação obrigatória dos atos exigidos pela citada Lei no PNCP se referir a aviso, autorização ou extrato, a publicidade dar-se-á através de sua publicação no Diário Oficial do Município e no Diário Oficial do Estado, sem prejuízo de sua tempestiva disponibilização no sistema de acompanhamento de contratações do Tribunal de Contas do Estado, quando disponível;</w:t>
      </w:r>
    </w:p>
    <w:p>
      <w:r>
        <w:rPr>
          <w:rFonts w:ascii="Liberation Serif" w:hAnsi="Liberation Serif"/>
          <w:lang w:val="en-US" w:eastAsia="en-US" w:bidi="en-US"/>
        </w:rPr>
      </w:r>
    </w:p>
    <w:p>
      <w:r>
        <w:rPr>
          <w:rFonts w:ascii="Arial" w:hAnsi="Arial" w:eastAsia="Times New Roman" w:cs="Arial"/>
          <w:lang w:val="pt-PT" w:eastAsia="en-US" w:bidi="en-US"/>
        </w:rPr>
        <w:t>II - quando a divulgação obrigatória dos atos exigidos pela citada Lei no PNCP se referir a inteiro teor de documento, edital, contrato ou processo, a publicidade dar-se-á através de sua disponibilização integral e tempestiva no Portal da Transparência do Município, sem prejuízo de eventual publicação no sistema de acompanhamento de contratações do Tribunal de Contasdo Estado, quando disponível;</w:t>
      </w:r>
    </w:p>
    <w:p>
      <w:r>
        <w:rPr>
          <w:rFonts w:ascii="Liberation Serif" w:hAnsi="Liberation Serif"/>
          <w:lang w:val="en-US" w:eastAsia="en-US" w:bidi="en-US"/>
        </w:rPr>
      </w:r>
    </w:p>
    <w:p>
      <w:r>
        <w:rPr>
          <w:rFonts w:ascii="Times New Roman" w:hAnsi="Times New Roman" w:eastAsia="Times New Roman" w:cs="Times New Roman"/>
          <w:lang w:val="pt-PT" w:eastAsia="en-US" w:bidi="en-US"/>
        </w:rPr>
        <w:t>III - não haverá prejuízo à realização de licitações a ausência das informações previstas nos §§ 2º e 3º do art. 174, da Lei nº 14.133/2021, devendo ser adotadas as funcionalidades atualmente disponibilizadas pelo Governo Municipal, no que couber, devendo, de qualquer modo, a Administração buscar a adequação de seus sistemas à previsão do PNCP; e</w:t>
      </w:r>
    </w:p>
    <w:p>
      <w:r>
        <w:rPr>
          <w:rFonts w:ascii="Liberation Serif" w:hAnsi="Liberation Serif"/>
          <w:lang w:val="en-US" w:eastAsia="en-US" w:bidi="en-US"/>
        </w:rPr>
      </w:r>
    </w:p>
    <w:p>
      <w:r>
        <w:rPr>
          <w:rFonts w:ascii="Times New Roman" w:hAnsi="Times New Roman" w:eastAsia="Times New Roman" w:cs="Times New Roman"/>
          <w:lang w:val="pt-PT" w:eastAsia="en-US" w:bidi="en-US"/>
        </w:rPr>
        <w:t>IV - nas licitações eletrônicas realizadas pelo Município, caso opte por realizar procedimento regido pela Lei nº 14.133/2021, e por adotar o modo de disputa aberto, fechado ou o modo aberto e fechado, a Administração poderá se utilizar de sistema atualmente disponível, inclusive o Comprasgov ou demais plataformas públicas ou privadas, sem prejuízo da utilização de sistema próprio.</w:t>
      </w:r>
    </w:p>
    <w:p>
      <w:r>
        <w:rPr>
          <w:rFonts w:ascii="Liberation Serif" w:hAnsi="Liberation Serif"/>
          <w:lang w:val="en-US" w:eastAsia="en-US" w:bidi="en-US"/>
        </w:rPr>
      </w:r>
    </w:p>
    <w:p>
      <w:r>
        <w:rPr>
          <w:rFonts w:ascii="Times New Roman" w:hAnsi="Times New Roman" w:eastAsia="Times New Roman" w:cs="Times New Roman"/>
          <w:lang w:val="pt-PT" w:eastAsia="en-US" w:bidi="en-US"/>
        </w:rPr>
        <w:t>§1º O disposto nos incisos I e II acima ocorrerão sem prejuízo da respectiva divulgação em sítio eletrônico oficial, sempre que previsto na Lei nº 14.133/2021.</w:t>
      </w:r>
    </w:p>
    <w:p>
      <w:r>
        <w:rPr>
          <w:rFonts w:ascii="Liberation Serif" w:hAnsi="Liberation Serif"/>
          <w:lang w:val="en-US" w:eastAsia="en-US" w:bidi="en-US"/>
        </w:rPr>
      </w:r>
    </w:p>
    <w:p>
      <w:r>
        <w:rPr>
          <w:rFonts w:ascii="Times New Roman" w:hAnsi="Times New Roman" w:eastAsia="Times New Roman" w:cs="Times New Roman"/>
          <w:lang w:val="pt-PT" w:eastAsia="en-US" w:bidi="en-US"/>
        </w:rPr>
        <w:t>§ 2º Todos os documentos e a íntegra de todos os processos de licitação deverão estar disponibilizados no site oficial do Município, cabendo ao Agente de Contratação a observância de tal providência, que deverá ocorrer no prazo máximo de 10 (dez) dias da conclusão do processo.</w:t>
      </w:r>
    </w:p>
  </w:comment>
  <w:comment w:id="31"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w:t>
      </w:r>
      <w:r>
        <w:rPr>
          <w:rFonts w:ascii="Liberation Serif" w:hAnsi="Liberation Serif"/>
          <w:lang w:val="en-US" w:eastAsia="en-US" w:bidi="en-US"/>
        </w:rPr>
        <w:t>Art. 21 do Decreto nº 11.462/23</w:t>
      </w:r>
    </w:p>
  </w:comment>
  <w:comment w:id="32"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w:t>
      </w:r>
      <w:r>
        <w:rPr>
          <w:rFonts w:ascii="Liberation Serif" w:hAnsi="Liberation Serif"/>
          <w:lang w:val="en-US" w:eastAsia="en-US" w:bidi="en-US"/>
        </w:rPr>
        <w:t>Conforme art. 20 do Decreto nº 11.462/23.</w:t>
      </w:r>
    </w:p>
  </w:comment>
  <w:comment w:id="33"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w:t>
      </w:r>
      <w:r>
        <w:rPr>
          <w:rFonts w:ascii="Liberation Serif" w:hAnsi="Liberation Serif"/>
          <w:lang w:val="en-US" w:eastAsia="en-US" w:bidi="en-US"/>
        </w:rPr>
        <w:t>Conforme artigo 18, III, do Decreto nº 11.462, de 2023.</w:t>
      </w:r>
    </w:p>
  </w:comment>
  <w:comment w:id="34"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w:t>
      </w:r>
      <w:r>
        <w:rPr>
          <w:rFonts w:ascii="Liberation Serif" w:hAnsi="Liberation Serif"/>
          <w:lang w:val="en-US" w:eastAsia="en-US" w:bidi="en-US"/>
        </w:rPr>
        <w:t>Conforme artigo 18, § 2º, do Decreto nº 11.462/23.</w:t>
      </w:r>
    </w:p>
  </w:comment>
  <w:comment w:id="35"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w:t>
      </w:r>
      <w:r>
        <w:rPr>
          <w:rFonts w:ascii="Liberation Serif" w:hAnsi="Liberation Serif"/>
          <w:lang w:val="en-US" w:eastAsia="en-US" w:bidi="en-US"/>
        </w:rPr>
        <w:t>Conforme art. 20, parágrafo único, do Decreto nº 11.462/23.</w:t>
      </w:r>
    </w:p>
  </w:comment>
  <w:comment w:id="36"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37" w:author="Autor" w:date="0-00-00T00:00:00Z" w:initials="A">
    <w:p>
      <w:r>
        <w:rPr>
          <w:rFonts w:ascii="Liberation Serif" w:hAnsi="Liberation Serif"/>
          <w:b/>
          <w:bCs/>
          <w:i/>
          <w:iCs/>
          <w:color w:val="000000"/>
          <w:lang w:val="en-US" w:eastAsia="en-US" w:bidi="en-US"/>
        </w:rPr>
        <w:t xml:space="preserve">Nota explicativa: </w:t>
      </w:r>
      <w:r>
        <w:rPr>
          <w:rFonts w:ascii="Liberation Serif" w:hAnsi="Liberation Serif"/>
          <w:i/>
          <w:iCs/>
          <w:color w:val="000000"/>
          <w:lang w:val="en-US" w:eastAsia="en-US" w:bidi="en-US"/>
        </w:rPr>
        <w:t xml:space="preserve">O valor da multa deverá observar o disposto no </w:t>
      </w:r>
      <w:r>
        <w:fldChar w:fldCharType="begin"/>
      </w:r>
      <w:r>
        <w:instrText> HYPERLINK "http://www.planalto.gov.br/ccivil_03/_ato2019-2022/2021/lei/L14133.htm" \l "art156§1"</w:instrText>
      </w:r>
      <w:r>
        <w:fldChar w:fldCharType="separate"/>
      </w:r>
      <w:r>
        <w:rPr>
          <w:rFonts w:ascii="Liberation Serif" w:hAnsi="Liberation Serif"/>
          <w:i/>
          <w:iCs/>
          <w:color w:val="000000"/>
          <w:lang w:val="en-US" w:eastAsia="en-US" w:bidi="en-US"/>
        </w:rPr>
        <w:t>art. 156, §1º, da Lei nº 14.133, de 2021</w:t>
      </w:r>
      <w:r>
        <w:fldChar w:fldCharType="end"/>
      </w:r>
      <w:r>
        <w:rPr>
          <w:rFonts w:ascii="Liberation Serif" w:hAnsi="Liberation Serif"/>
          <w:i/>
          <w:iCs/>
          <w:color w:val="000000"/>
          <w:lang w:val="en-US" w:eastAsia="en-US" w:bidi="en-US"/>
        </w:rPr>
        <w:t>.</w:t>
      </w:r>
    </w:p>
    <w:p>
      <w:r>
        <w:rPr>
          <w:rFonts w:ascii="Liberation Serif" w:hAnsi="Liberation Serif"/>
          <w:i/>
          <w:iCs/>
          <w:color w:val="000000"/>
          <w:lang w:val="en-US" w:eastAsia="en-US" w:bidi="en-US"/>
        </w:rPr>
        <w:t xml:space="preserve">Segundo o </w:t>
      </w:r>
      <w:r>
        <w:fldChar w:fldCharType="begin"/>
      </w:r>
      <w:r>
        <w:instrText> HYPERLINK "http://www.planalto.gov.br/ccivil_03/_ato2019-2022/2021/lei/L14133.htm" \l "art156§3"</w:instrText>
      </w:r>
      <w:r>
        <w:fldChar w:fldCharType="separate"/>
      </w:r>
      <w:r>
        <w:rPr>
          <w:rFonts w:ascii="Liberation Serif" w:hAnsi="Liberation Serif"/>
          <w:i/>
          <w:iCs/>
          <w:color w:val="000000"/>
          <w:lang w:val="en-US" w:eastAsia="en-US" w:bidi="en-US"/>
        </w:rPr>
        <w:t>art. 156, §3º</w:t>
      </w:r>
      <w:r>
        <w:fldChar w:fldCharType="end"/>
      </w:r>
      <w:r>
        <w:rPr>
          <w:rFonts w:ascii="Liberation Serif" w:hAnsi="Liberation Serif"/>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"http://www.planalto.gov.br/ccivil_03/_ato2019-2022/2021/lei/L14133.htm" \l "art155"</w:instrText>
      </w:r>
      <w:r>
        <w:fldChar w:fldCharType="separate"/>
      </w:r>
      <w:r>
        <w:rPr>
          <w:rFonts w:ascii="Liberation Serif" w:hAnsi="Liberation Serif"/>
          <w:i/>
          <w:iCs/>
          <w:color w:val="000000"/>
          <w:lang w:val="en-US" w:eastAsia="en-US" w:bidi="en-US"/>
        </w:rPr>
        <w:t>art. 155 da Lei n.º 14.133/2021</w:t>
      </w:r>
      <w:r>
        <w:fldChar w:fldCharType="end"/>
      </w:r>
      <w:r>
        <w:rPr>
          <w:rFonts w:ascii="Liberation Serif" w:hAnsi="Liberation Serif"/>
          <w:i/>
          <w:iCs/>
          <w:color w:val="000000"/>
          <w:lang w:val="en-US" w:eastAsia="en-US" w:bidi="en-US"/>
        </w:rPr>
        <w:t>. Deve-se fixar o percentual da multa proporcional à gravidade da infração.</w:t>
      </w:r>
    </w:p>
    <w:p>
      <w:r>
        <w:rPr>
          <w:rFonts w:ascii="Liberation Serif" w:hAnsi="Liberation Serif"/>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38" w:author="Autor" w:date="0-00-00T00:00:00Z" w:initials="A">
    <w:p>
      <w:r>
        <w:rPr>
          <w:rFonts w:ascii="Liberation Serif" w:hAnsi="Liberation Serif"/>
          <w:lang w:val="en-US" w:eastAsia="en-US" w:bidi="en-US"/>
        </w:rPr>
        <w:t>Sugestão apresentada em 27/04/2024</w:t>
      </w:r>
    </w:p>
  </w:comment>
  <w:comment w:id="39" w:author="Autor" w:date="0-00-00T00:00:00Z" w:initials="A">
    <w:p>
      <w:r>
        <w:rPr>
          <w:rFonts w:ascii="Liberation Serif" w:hAnsi="Liberation Serif"/>
          <w:lang w:val="en-US" w:eastAsia="en-US" w:bidi="en-US"/>
        </w:rPr>
      </w:r>
    </w:p>
    <w:p>
      <w:r>
        <w:rPr>
          <w:rFonts w:ascii="Liberation Serif" w:hAnsi="Liberation Serif" w:cs="Arial"/>
          <w:i/>
          <w:sz w:val="20"/>
          <w:szCs w:val="20"/>
          <w:lang w:val="en-US" w:eastAsia="en-US" w:bidi="en-US"/>
        </w:rPr>
        <w:t>Regulamenta os art. 82 a art. 86 da Lei nº 14.133, de 1º de abril de 2021, para dispor sobre o sistema de registro de preços para a contratação de bens e serviços, inclusive obras e serviços de engenharia, no âmbito da Administração Pública federal direta, autárquica e fundacional.</w:t>
      </w:r>
    </w:p>
    <w:p>
      <w:r>
        <w:rPr>
          <w:rFonts w:ascii="Liberation Serif" w:hAnsi="Liberation Serif"/>
          <w:lang w:val="en-US" w:eastAsia="en-US" w:bidi="en-US"/>
        </w:rPr>
      </w:r>
    </w:p>
  </w:comment>
  <w:comment w:id="40" w:author="Autor" w:date="0-00-00T00:00:00Z" w:initials="A">
    <w:p>
      <w:r>
        <w:rPr>
          <w:rFonts w:ascii="Liberation Serif" w:hAnsi="Liberation Serif"/>
          <w:b/>
          <w:color w:val="000000"/>
          <w:lang w:val="en-US" w:eastAsia="en-US" w:bidi="en-US"/>
        </w:rPr>
        <w:t>Nota Explicativa:</w:t>
      </w:r>
      <w:r>
        <w:rPr>
          <w:rFonts w:ascii="Liberation Serif" w:hAnsi="Liberation Serif"/>
          <w:i/>
          <w:iCs/>
          <w:color w:val="000000"/>
          <w:lang w:val="en-US" w:eastAsia="en-US" w:bidi="en-US"/>
        </w:rPr>
        <w:t>O preço registrado, com a indicação dos fornecedores, será divulgado no PNCP e disponibilizado durante a vigência da ata de registro de preços</w:t>
      </w:r>
      <w:r>
        <w:rPr>
          <w:rFonts w:ascii="Liberation Serif" w:hAnsi="Liberation Serif"/>
          <w:color w:val="000000"/>
          <w:lang w:val="en-US" w:eastAsia="en-US" w:bidi="en-US"/>
        </w:rPr>
        <w:t>. (§ 4º, art. 18 do Decreto Nº11.462, de 2023.)</w:t>
      </w:r>
    </w:p>
  </w:comment>
  <w:comment w:id="41" w:author="Autor" w:date="0-00-00T00:00:00Z" w:initials="A">
    <w:p>
      <w:r>
        <w:rPr>
          <w:rFonts w:ascii="Liberation Serif" w:hAnsi="Liberation Serif"/>
          <w:b/>
          <w:lang w:val="en-US" w:eastAsia="en-US" w:bidi="en-US"/>
        </w:rPr>
        <w:t>Nota Explicativa</w:t>
      </w:r>
      <w:r>
        <w:rPr>
          <w:rFonts w:ascii="Liberation Serif" w:hAnsi="Liberation Serif"/>
          <w:lang w:val="en-US" w:eastAsia="en-US" w:bidi="en-US"/>
        </w:rPr>
        <w:t>. No artigo 82, § 3º, da Lei 14.133, permite-se o registro de preços com indicação limitada a unidades de contratação,</w:t>
      </w:r>
      <w:r>
        <w:rPr>
          <w:rFonts w:ascii="Liberation Serif" w:hAnsi="Liberation Serif"/>
          <w:b/>
          <w:bCs/>
          <w:lang w:val="en-US" w:eastAsia="en-US" w:bidi="en-US"/>
        </w:rPr>
        <w:t xml:space="preserve"> sem indicação do total a ser adquirido</w:t>
      </w:r>
      <w:r>
        <w:rPr>
          <w:rFonts w:ascii="Liberation Serif" w:hAnsi="Liberation Serif"/>
          <w:lang w:val="en-US" w:eastAsia="en-US" w:bidi="en-US"/>
        </w:rPr>
        <w:t>, apenas nas seguintes situações:</w:t>
      </w:r>
    </w:p>
    <w:p>
      <w:r>
        <w:rPr>
          <w:rFonts w:ascii="Liberation Serif" w:hAnsi="Liberation Serif"/>
          <w:lang w:val="en-US" w:eastAsia="en-US" w:bidi="en-US"/>
        </w:rPr>
        <w:t>I - quando for a primeira licitação para o objeto e o órgão ou entidade não tiver registro de demandas anteriores;</w:t>
      </w:r>
    </w:p>
    <w:p>
      <w:r>
        <w:rPr>
          <w:rFonts w:ascii="Liberation Serif" w:hAnsi="Liberation Serif"/>
          <w:lang w:val="en-US" w:eastAsia="en-US" w:bidi="en-US"/>
        </w:rPr>
        <w:t>II - no caso de alimento perecível;</w:t>
      </w:r>
    </w:p>
    <w:p>
      <w:r>
        <w:rPr>
          <w:rFonts w:ascii="Liberation Serif" w:hAnsi="Liberation Serif"/>
          <w:lang w:val="en-US" w:eastAsia="en-US" w:bidi="en-US"/>
        </w:rPr>
        <w:t>III - no caso em que o serviço estiver integrado ao fornecimento de bens.</w:t>
      </w:r>
    </w:p>
    <w:p>
      <w:r>
        <w:rPr>
          <w:rFonts w:ascii="Liberation Serif" w:hAnsi="Liberation Serif"/>
          <w:lang w:val="en-US" w:eastAsia="en-US" w:bidi="en-US"/>
        </w:rPr>
        <w:t>Nessas situações, é obrigatória a indicação do valor máximo da despesa e é vedada a participação de outro órgão ou entidade na ata.</w:t>
      </w:r>
    </w:p>
    <w:p>
      <w:r>
        <w:rPr>
          <w:rFonts w:ascii="Liberation Serif" w:hAnsi="Liberation Serif"/>
          <w:lang w:val="en-US" w:eastAsia="en-US" w:bidi="en-US"/>
        </w:rPr>
        <w:t>O artigo 4º do Decreto 11.462, de 31/3/2023, possui a mesma redação da lei.</w:t>
      </w:r>
    </w:p>
    <w:p>
      <w:r>
        <w:rPr>
          <w:rFonts w:ascii="Liberation Serif" w:hAnsi="Liberation Serif"/>
          <w:lang w:val="en-US" w:eastAsia="en-US" w:bidi="en-US"/>
        </w:rPr>
        <w:t>Ex.: A quantidade mínima por pedido será de ---. A quantidade máxima por pedido será de ---.</w:t>
      </w:r>
    </w:p>
  </w:comment>
  <w:comment w:id="42" w:author="Autor" w:date="0-00-00T00:00:00Z" w:initials="A">
    <w:p>
      <w:r>
        <w:rPr>
          <w:rFonts w:ascii="Liberation Serif" w:hAnsi="Liberation Serif"/>
          <w:b/>
          <w:color w:val="000000"/>
          <w:lang w:val="en-US" w:eastAsia="en-US" w:bidi="en-US"/>
        </w:rPr>
        <w:t>Nota Explicativa</w:t>
      </w:r>
      <w:r>
        <w:rPr>
          <w:rFonts w:ascii="Liberation Serif" w:hAnsi="Liberation Serif"/>
          <w:color w:val="000000"/>
          <w:lang w:val="en-US" w:eastAsia="en-US" w:bidi="en-US"/>
        </w:rPr>
        <w:t>: A listagem deve obedecer a ordem prevista no inciso II e § 2º do art. 18 do Decreto nº 11.462, de 2023.</w:t>
      </w:r>
    </w:p>
  </w:comment>
  <w:comment w:id="43" w:author="Autor" w:date="0-00-00T00:00:00Z" w:initials="A">
    <w:p>
      <w:r>
        <w:rPr>
          <w:rFonts w:ascii="Liberation Serif" w:hAnsi="Liberation Serif"/>
          <w:b/>
          <w:lang w:val="en-US" w:eastAsia="en-US" w:bidi="en-US"/>
        </w:rPr>
        <w:t>Nota Explicativa</w:t>
      </w:r>
      <w:r>
        <w:rPr>
          <w:rFonts w:ascii="Liberation Serif" w:hAnsi="Liberation Serif"/>
          <w:lang w:val="en-US" w:eastAsia="en-US" w:bidi="en-US"/>
        </w:rPr>
        <w:t xml:space="preserve">: A possibilidade de vedação de adesão existe, por exemplo, na hipótese do parágrafo único do art. 4º do Decreto: </w:t>
      </w:r>
    </w:p>
    <w:p>
      <w:r>
        <w:rPr>
          <w:rFonts w:ascii="Liberation Serif" w:hAnsi="Liberation Serif"/>
          <w:lang w:val="en-US" w:eastAsia="en-US" w:bidi="en-US"/>
        </w:rPr>
        <w:t>"Art. 4º  É permitido o registro de preços com indicação limitada a unidades de contratação, sem indicação do total a ser adquirido, apenas nas seguintes situações:</w:t>
      </w:r>
    </w:p>
    <w:p>
      <w:r>
        <w:rPr>
          <w:rFonts w:ascii="Liberation Serif" w:hAnsi="Liberation Serif"/>
          <w:lang w:val="en-US" w:eastAsia="en-US" w:bidi="en-US"/>
        </w:rPr>
        <w:t>I - quando for a primeira licitação ou contratação direta para o objeto e o órgão ou a entidade não tiver registro de demandas anteriores;</w:t>
      </w:r>
    </w:p>
    <w:p>
      <w:r>
        <w:rPr>
          <w:rFonts w:ascii="Liberation Serif" w:hAnsi="Liberation Serif"/>
          <w:lang w:val="en-US" w:eastAsia="en-US" w:bidi="en-US"/>
        </w:rPr>
        <w:t>II - no caso de alimento perecível; ou</w:t>
      </w:r>
    </w:p>
    <w:p>
      <w:r>
        <w:rPr>
          <w:rFonts w:ascii="Liberation Serif" w:hAnsi="Liberation Serif"/>
          <w:lang w:val="en-US" w:eastAsia="en-US" w:bidi="en-US"/>
        </w:rPr>
        <w:t>III - no caso em que o serviço estiver integrado ao fornecimento de bens.</w:t>
      </w:r>
    </w:p>
    <w:p>
      <w:r>
        <w:rPr>
          <w:rFonts w:ascii="Liberation Serif" w:hAnsi="Liberation Serif"/>
          <w:lang w:val="en-US" w:eastAsia="en-US" w:bidi="en-US"/>
        </w:rPr>
        <w:t>Parágrafo único.  Nas situações referidas no caput, é obrigatória a indicação do valor máximo da despesa e é vedada a participação de outro órgão ou entidade na ata."</w:t>
      </w:r>
    </w:p>
    <w:p>
      <w:r>
        <w:rPr>
          <w:rFonts w:ascii="Liberation Serif" w:hAnsi="Liberation Serif"/>
          <w:lang w:val="en-US" w:eastAsia="en-US" w:bidi="en-US"/>
        </w:rPr>
      </w:r>
    </w:p>
    <w:p>
      <w:r>
        <w:rPr>
          <w:rFonts w:ascii="Liberation Serif" w:hAnsi="Liberation Serif"/>
          <w:lang w:val="en-US" w:eastAsia="en-US" w:bidi="en-US"/>
        </w:rPr>
        <w:t>Além disso, em razão da capacidade de gerenciamento do gerenciador, ele pode negar adesões posteriores, conforme art. 7º, I e XI, do Decreto: "Art. 7º  Compete ao órgão ou à entidade gerenciadora praticar todos os atos de controle e de administração do SRP, em especial:</w:t>
      </w:r>
    </w:p>
    <w:p>
      <w:r>
        <w:rPr>
          <w:rFonts w:ascii="Liberation Serif" w:hAnsi="Liberation Serif"/>
          <w:lang w:val="en-US" w:eastAsia="en-US" w:bidi="en-US"/>
        </w:rPr>
        <w:t>I - realizar procedimento público de intenção de registro de preços - IRP e, quando for o caso, estabelecer o número máximo de participantes, em conformidade com sua capacidade de gerenciamento;</w:t>
      </w:r>
    </w:p>
    <w:p>
      <w:r>
        <w:rPr>
          <w:rFonts w:ascii="Liberation Serif" w:hAnsi="Liberation Serif"/>
          <w:lang w:val="en-US" w:eastAsia="en-US" w:bidi="en-US"/>
        </w:rPr>
        <w:t>[...]</w:t>
      </w:r>
    </w:p>
    <w:p>
      <w:r>
        <w:rPr>
          <w:rFonts w:ascii="Liberation Serif" w:hAnsi="Liberation Serif"/>
          <w:lang w:val="en-US" w:eastAsia="en-US" w:bidi="en-US"/>
        </w:rPr>
        <w:t>XI - deliberar quanto à adesão posterior de órgãos e entidades que não tenham manifestado interesse durante o período de divulgação da IRP;"</w:t>
      </w:r>
    </w:p>
    <w:p>
      <w:r>
        <w:rPr>
          <w:rFonts w:ascii="Liberation Serif" w:hAnsi="Liberation Serif"/>
          <w:lang w:val="en-US" w:eastAsia="en-US" w:bidi="en-US"/>
        </w:rPr>
      </w:r>
    </w:p>
    <w:p>
      <w:r>
        <w:rPr>
          <w:rFonts w:ascii="Liberation Serif" w:hAnsi="Liberation Serif"/>
          <w:lang w:val="en-US" w:eastAsia="en-US" w:bidi="en-US"/>
        </w:rPr>
        <w:t>Assim, desde que devidamente justificado nos Estudos Técnicos Preliminares, poderá ser vedada a adesão, de forma prévia, a órgãos não-participantes.</w:t>
      </w:r>
    </w:p>
  </w:comment>
  <w:comment w:id="44" w:author="Autor" w:date="0-00-00T00:00:00Z" w:initials="A">
    <w:p>
      <w:r>
        <w:rPr>
          <w:rFonts w:ascii="Liberation Serif" w:hAnsi="Liberation Serif"/>
          <w:b/>
          <w:lang w:val="en-US" w:eastAsia="en-US" w:bidi="en-US"/>
        </w:rPr>
        <w:t>Nota Explicativa</w:t>
      </w:r>
      <w:r>
        <w:rPr>
          <w:rFonts w:ascii="Liberation Serif" w:hAnsi="Liberation Serif"/>
          <w:lang w:val="en-US" w:eastAsia="en-US" w:bidi="en-US"/>
        </w:rPr>
        <w:t>:O artigo 84 da Lei 14.133 fixa o prazo de 1 (um) ano para a ata de registro de preços, admitindo a prorrogação por igual período.</w:t>
      </w:r>
    </w:p>
  </w:comment>
  <w:comment w:id="45" w:author="Autor" w:date="0-00-00T00:00:00Z" w:initials="A">
    <w:p>
      <w:r>
        <w:rPr>
          <w:rFonts w:ascii="Liberation Serif" w:hAnsi="Liberation Serif"/>
          <w:b/>
          <w:lang w:val="en-US" w:eastAsia="en-US" w:bidi="en-US"/>
        </w:rPr>
        <w:t>Nota Explicativa:</w:t>
      </w:r>
      <w:r>
        <w:rPr>
          <w:rFonts w:ascii="Liberation Serif" w:hAnsi="Liberation Serif"/>
          <w:lang w:val="en-US" w:eastAsia="en-US" w:bidi="en-US"/>
        </w:rPr>
        <w:t>Restringindo-se o reequilíbrio a alguns itens fornecidos em circunstâncias específicas, a ata poderá prever preços distintos na forma do artigo 82, III, da Lei nº 14.133, de 2021.</w:t>
      </w:r>
    </w:p>
  </w:comment>
  <w:comment w:id="46" w:author="Autor" w:date="0-00-00T00:00:00Z" w:initials="A">
    <w:p>
      <w:r>
        <w:rPr>
          <w:rFonts w:ascii="Liberation Serif" w:hAnsi="Liberation Serif"/>
          <w:lang w:val="en-US" w:eastAsia="en-US" w:bidi="en-US"/>
        </w:rPr>
        <w:t>Item incluso pelo Parecer Jurídico n.° 1364/2023, datado de 19/09/2023.</w:t>
      </w:r>
    </w:p>
  </w:comment>
  <w:comment w:id="47" w:author="Autor" w:date="0-00-00T00:00:00Z" w:initials="A">
    <w:p>
      <w:r>
        <w:rPr>
          <w:rFonts w:ascii="Liberation Serif" w:hAnsi="Liberation Serif"/>
          <w:b/>
          <w:lang w:val="en-US" w:eastAsia="en-US" w:bidi="en-US"/>
        </w:rPr>
        <w:t>Nota Explicativa:</w:t>
      </w:r>
      <w:r>
        <w:rPr>
          <w:rFonts w:ascii="Liberation Serif" w:hAnsi="Liberation Serif"/>
          <w:lang w:val="en-US" w:eastAsia="en-US" w:bidi="en-US"/>
        </w:rPr>
        <w:t>O §3º do art. 28 do Decreto nº 11.462/2023, prevê: "§ 3º  Na hipótese de cancelamento do registro do fornecedor, o órgão ou a entidade gerenciadora poderá convocar os licitantes que compõem o cadastro de reserva, observada a ordem de classificação."</w:t>
      </w:r>
    </w:p>
  </w:comment>
  <w:comment w:id="48" w:author="Autor" w:date="0-00-00T00:00:00Z" w:initials="A">
    <w:p>
      <w:r>
        <w:rPr>
          <w:rFonts w:ascii="Liberation Serif" w:hAnsi="Liberation Serif"/>
          <w:lang w:val="en-US" w:eastAsia="en-US" w:bidi="en-US"/>
        </w:rPr>
      </w:r>
    </w:p>
    <w:p>
      <w:r>
        <w:rPr>
          <w:rFonts w:ascii="Liberation Serif" w:hAnsi="Liberation Serif"/>
          <w:b/>
          <w:bCs/>
          <w:i/>
          <w:iCs/>
          <w:color w:val="000000"/>
          <w:lang w:val="en-US" w:eastAsia="en-US" w:bidi="en-US"/>
        </w:rPr>
        <w:t xml:space="preserve">Nota Explicativa: </w:t>
      </w:r>
      <w:r>
        <w:rPr>
          <w:rFonts w:ascii="Liberation Serif" w:hAnsi="Liberation Serif"/>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49" w:author="Autor" w:date="0-00-00T00:00:00Z" w:initials="A">
    <w:p>
      <w:r>
        <w:rPr>
          <w:rFonts w:ascii="Liberation Serif" w:hAnsi="Liberation Serif"/>
          <w:lang w:val="en-US" w:eastAsia="en-US" w:bidi="en-US"/>
        </w:rPr>
      </w:r>
    </w:p>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Deverá a Administração indicar o índice de preços a ser utilizado para a atualização monetária do valor devido ao contratado, de acordo com objeto. Ex</w:t>
      </w:r>
      <w:r>
        <w:rPr>
          <w:rFonts w:ascii="Liberation Serif" w:hAnsi="Liberation Serif"/>
          <w:iCs/>
          <w:color w:val="000000"/>
          <w:lang w:val="en-US" w:eastAsia="en-US" w:bidi="en-US"/>
        </w:rPr>
        <w:t xml:space="preserve">.: INCC- </w:t>
      </w:r>
      <w:r>
        <w:rPr>
          <w:rFonts w:ascii="Liberation Serif" w:hAnsi="Liberation Serif"/>
          <w:bCs/>
          <w:iCs/>
          <w:color w:val="000000"/>
          <w:lang w:val="en-US" w:eastAsia="en-US" w:bidi="en-US"/>
        </w:rPr>
        <w:t>Índice Nacional de Custo da Construção Civil</w:t>
      </w:r>
      <w:r>
        <w:rPr>
          <w:rFonts w:ascii="Liberation Serif" w:hAnsi="Liberation Serif"/>
          <w:iCs/>
          <w:color w:val="000000"/>
          <w:lang w:val="en-US" w:eastAsia="en-US" w:bidi="en-US"/>
        </w:rPr>
        <w:t>.</w:t>
      </w:r>
    </w:p>
  </w:comment>
  <w:comment w:id="50" w:author="Autor" w:date="0-00-00T00:00:00Z" w:initials="A">
    <w:p>
      <w:r>
        <w:rPr>
          <w:rFonts w:ascii="Liberation Serif" w:hAnsi="Liberation Serif"/>
          <w:lang w:val="en-US" w:eastAsia="en-US" w:bidi="en-US"/>
        </w:rPr>
        <w:t xml:space="preserve">Conforme Lei Municipal </w:t>
      </w:r>
      <w:r>
        <w:rPr>
          <w:rFonts w:ascii="Liberation Serif" w:hAnsi="Liberation Serif"/>
          <w:i/>
          <w:iCs/>
          <w:color w:val="000000"/>
          <w:lang w:val="en-US" w:eastAsia="en-US" w:bidi="en-US"/>
        </w:rPr>
        <w:t>Complementar nº 01/2003 - Art. 242 O Município não celebrará contrato ou aceitará proposta em concorrência pública, nem efetuará pagamento de qualquer crédito, sem que o contratante ou proponente faça prova por certidão negativa, da quitação de todos os tributos devidos à Fazenda Municipal, relativos à atividade em cujo exercício contrata ou concorre.</w:t>
      </w:r>
    </w:p>
  </w:comment>
  <w:comment w:id="51" w:author="Autor" w:date="0-00-00T00:00:00Z" w:initials="A">
    <w:p>
      <w:r>
        <w:rPr>
          <w:rFonts w:ascii="Liberation Serif" w:hAnsi="Liberation Serif"/>
          <w:b/>
          <w:lang w:val="en-US" w:eastAsia="en-US" w:bidi="en-US"/>
        </w:rPr>
        <w:t xml:space="preserve">Nota Explicativa: </w:t>
      </w:r>
      <w:r>
        <w:rPr>
          <w:rFonts w:ascii="Liberation Serif" w:hAnsi="Liberation Serif"/>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
        <w:rPr>
          <w:rFonts w:ascii="Liberation Serif" w:hAnsi="Liberation Serif"/>
          <w:lang w:val="en-US" w:eastAsia="en-US" w:bidi="en-US"/>
        </w:rPr>
        <w:t>§ 5º A regra do § 4º não se aplicará aos licitantes remanescentes convocados na forma do inciso I do § 3º." (IN 73/2022-SEGES)</w:t>
      </w:r>
    </w:p>
  </w:comment>
  <w:comment w:id="52" w:author="Autor" w:date="0-00-00T00:00:00Z" w:initials="A">
    <w:p>
      <w:r>
        <w:rPr>
          <w:rFonts w:ascii="Liberation Serif" w:hAnsi="Liberation Serif"/>
          <w:lang w:val="en-US" w:eastAsia="en-US" w:bidi="en-US"/>
        </w:rPr>
      </w:r>
    </w:p>
    <w:p>
      <w:r>
        <w:rPr>
          <w:rFonts w:ascii="Liberation Serif" w:hAnsi="Liberation Serif"/>
          <w:b/>
          <w:sz w:val="21"/>
          <w:szCs w:val="21"/>
          <w:lang w:val="en-US" w:eastAsia="en-US" w:bidi="en-US"/>
        </w:rPr>
        <w:t>art. 7º, inc. XIV, do Decreto nº 11.462, de 2023</w:t>
      </w:r>
    </w:p>
    <w:p>
      <w:r>
        <w:rPr>
          <w:rFonts w:ascii="Liberation Serif" w:hAnsi="Liberation Serif"/>
          <w:lang w:val="en-US" w:eastAsia="en-US" w:bidi="en-US"/>
        </w:rPr>
        <w:t>Art. 7º  Compete ao órgão ou à entidade gerenciadora praticar todos os atos de controle e de administração do SRP, em especial:</w:t>
      </w:r>
    </w:p>
    <w:p>
      <w:r>
        <w:rPr>
          <w:rFonts w:ascii="Liberation Serif" w:hAnsi="Liberation Serif"/>
          <w:lang w:val="en-US" w:eastAsia="en-US" w:bidi="en-US"/>
        </w:rPr>
        <w:t>[...]XIV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 registrá-las no SICAF;</w:t>
      </w:r>
    </w:p>
    <w:p>
      <w:r>
        <w:rPr>
          <w:rFonts w:ascii="Liberation Serif" w:hAnsi="Liberation Serif"/>
          <w:lang w:val="en-US" w:eastAsia="en-US" w:bidi="en-US"/>
        </w:rPr>
      </w:r>
    </w:p>
    <w:p>
      <w:r>
        <w:rPr>
          <w:rFonts w:ascii="Liberation Serif" w:hAnsi="Liberation Serif"/>
          <w:b/>
          <w:lang w:val="en-US" w:eastAsia="en-US" w:bidi="en-US"/>
        </w:rPr>
        <w:t>Decreto Municipal 5.807/2023</w:t>
      </w:r>
      <w:r>
        <w:rPr>
          <w:rFonts w:ascii="Liberation Serif" w:hAnsi="Liberation Serif"/>
          <w:lang w:val="en-US" w:eastAsia="en-US" w:bidi="en-US"/>
        </w:rPr>
        <w:t xml:space="preserve"> - CAPÍTULO XIV - DO PROCESSO ADMINISTRATIVO SANCIONATÓRIO</w:t>
      </w:r>
    </w:p>
    <w:p>
      <w:r>
        <w:rPr>
          <w:rFonts w:ascii="Liberation Serif" w:hAnsi="Liberation Serif"/>
          <w:lang w:val="en-US" w:eastAsia="en-US" w:bidi="en-US"/>
        </w:rPr>
      </w:r>
    </w:p>
    <w:p>
      <w:r>
        <w:rPr>
          <w:rFonts w:ascii="Liberation Serif" w:hAnsi="Liberation Serif"/>
          <w:lang w:val="en-US" w:eastAsia="en-US" w:bidi="en-US"/>
        </w:rPr>
      </w:r>
    </w:p>
  </w:comment>
  <w:comment w:id="53" w:author="Autor" w:date="0-00-00T00:00:00Z" w:initials="A">
    <w:p>
      <w:r>
        <w:rPr>
          <w:rFonts w:ascii="Liberation Serif" w:hAnsi="Liberation Serif"/>
          <w:lang w:val="en-US" w:eastAsia="en-US" w:bidi="en-US"/>
        </w:rPr>
      </w:r>
    </w:p>
    <w:p>
      <w:r>
        <w:rPr>
          <w:rFonts w:ascii="Liberation Serif" w:hAnsi="Liberation Serif"/>
          <w:lang w:val="en-US" w:eastAsia="en-US" w:bidi="en-US"/>
        </w:rPr>
        <w:t>Art. 28, inciso IV do Decreto 11.462/2023 – regulamenta o Sistema de Registro de Preços</w:t>
      </w:r>
    </w:p>
    <w:p>
      <w:r>
        <w:rPr>
          <w:rFonts w:ascii="Liberation Serif" w:hAnsi="Liberation Serif"/>
          <w:lang w:val="en-US" w:eastAsia="en-US" w:bidi="en-US"/>
        </w:rPr>
      </w:r>
    </w:p>
  </w:comment>
  <w:comment w:id="54" w:author="Autor" w:date="0-00-00T00:00:00Z" w:initials="A">
    <w:p>
      <w:r>
        <w:rPr>
          <w:rFonts w:ascii="Liberation Serif" w:hAnsi="Liberation Serif"/>
          <w:lang w:val="en-US" w:eastAsia="en-US" w:bidi="en-US"/>
        </w:rPr>
      </w:r>
    </w:p>
    <w:p>
      <w:r>
        <w:rPr>
          <w:rFonts w:ascii="Liberation Serif" w:hAnsi="Liberation Serif"/>
          <w:lang w:val="en-US" w:eastAsia="en-US" w:bidi="en-US"/>
        </w:rPr>
        <w:t>Valor mínimo de acordo com o art. 156 § 3° da Lei 14.133/2021.</w:t>
      </w:r>
    </w:p>
    <w:p>
      <w:r>
        <w:rPr>
          <w:rFonts w:ascii="Liberation Serif" w:hAnsi="Liberation Serif"/>
          <w:lang w:val="en-US" w:eastAsia="en-US" w:bidi="en-US"/>
        </w:rPr>
        <w:t>Art. 156. Serão aplicadas ao responsável pelas infrações administrativas previstas nesta Lei as seguintes sanções:</w:t>
      </w:r>
    </w:p>
    <w:p>
      <w:r>
        <w:rPr>
          <w:rFonts w:ascii="Liberation Serif" w:hAnsi="Liberation Serif"/>
          <w:lang w:val="en-US" w:eastAsia="en-US" w:bidi="en-US"/>
        </w:rPr>
        <w:t>[...]</w:t>
      </w:r>
    </w:p>
    <w:p>
      <w:r>
        <w:rPr>
          <w:rFonts w:ascii="Liberation Serif" w:hAnsi="Liberation Serif"/>
          <w:lang w:val="en-US" w:eastAsia="en-US" w:bidi="en-US"/>
        </w:rPr>
        <w:t>II - multa;</w:t>
      </w:r>
    </w:p>
    <w:p>
      <w:r>
        <w:rPr>
          <w:rFonts w:ascii="Liberation Serif" w:hAnsi="Liberation Serif"/>
          <w:lang w:val="en-US" w:eastAsia="en-US" w:bidi="en-US"/>
        </w:rPr>
        <w:t>[...]</w:t>
      </w:r>
    </w:p>
    <w:p>
      <w:r>
        <w:rPr>
          <w:rFonts w:ascii="Liberation Serif" w:hAnsi="Liberation Serif"/>
          <w:lang w:val="en-US" w:eastAsia="en-US" w:bidi="en-US"/>
        </w:rPr>
        <w:t>§ 3º A sanção prevista no inciso II do </w:t>
      </w:r>
      <w:r>
        <w:rPr>
          <w:rFonts w:ascii="Liberation Serif" w:hAnsi="Liberation Serif"/>
          <w:b/>
          <w:bCs/>
          <w:lang w:val="en-US" w:eastAsia="en-US" w:bidi="en-US"/>
        </w:rPr>
        <w:t>caput</w:t>
      </w:r>
      <w:r>
        <w:rPr>
          <w:rFonts w:ascii="Liberation Serif" w:hAnsi="Liberation Serif"/>
          <w:lang w:val="en-US" w:eastAsia="en-US" w:bidi="en-US"/>
        </w:rPr>
        <w: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"https://www.planalto.gov.br/ccivil_03/_ato2019-2022/2021/lei/l14133.htm" \l "art155"</w:instrText>
      </w:r>
      <w:r>
        <w:fldChar w:fldCharType="separate"/>
      </w:r>
      <w:r>
        <w:rPr>
          <w:rFonts w:ascii="Liberation Serif" w:hAnsi="Liberation Serif"/>
          <w:lang w:val="en-US" w:eastAsia="en-US" w:bidi="en-US"/>
        </w:rPr>
        <w:t>art. 155 desta Lei</w:t>
      </w:r>
      <w:r>
        <w:fldChar w:fldCharType="end"/>
      </w:r>
      <w:r>
        <w:rPr>
          <w:rFonts w:ascii="Liberation Serif" w:hAnsi="Liberation Serif"/>
          <w:lang w:val="en-US" w:eastAsia="en-US" w:bidi="en-US"/>
        </w:rPr>
        <w:t>.</w:t>
      </w:r>
    </w:p>
  </w:comment>
  <w:comment w:id="55"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56" w:author="Autor" w:date="0-00-00T00:00:00Z" w:initials="A">
    <w:p>
      <w:r>
        <w:rPr>
          <w:rFonts w:ascii="Liberation Serif" w:hAnsi="Liberation Serif"/>
          <w:b/>
          <w:bCs/>
          <w:i/>
          <w:iCs/>
          <w:color w:val="000000"/>
          <w:lang w:val="en-US" w:eastAsia="en-US" w:bidi="en-US"/>
        </w:rPr>
        <w:t>Nota Explicativa :</w:t>
      </w:r>
      <w:r>
        <w:rPr>
          <w:rFonts w:ascii="Liberation Serif" w:hAnsi="Liberation Serif"/>
          <w:i/>
          <w:iCs/>
          <w:color w:val="000000"/>
          <w:lang w:val="en-US" w:eastAsia="en-US" w:bidi="en-US"/>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57" w:author="Autor" w:date="0-00-00T00:00:00Z" w:initials="A">
    <w:p>
      <w:r>
        <w:rPr>
          <w:rFonts w:ascii="Liberation Serif" w:hAnsi="Liberation Serif"/>
          <w:b/>
          <w:lang w:val="en-US" w:eastAsia="en-US" w:bidi="en-US"/>
        </w:rPr>
        <w:t>Nota Explicativa:</w:t>
      </w:r>
      <w:r>
        <w:rPr>
          <w:rFonts w:ascii="Liberation Serif" w:hAnsi="Liberation Serif"/>
          <w:lang w:val="en-US" w:eastAsia="en-US" w:bidi="en-US"/>
        </w:rPr>
        <w:t>Caso haja previsão de preços diferentes conforme artigo 82, III, da Lei nº 14.133, de 2021, e artigo 15, III, da Lei nº 11.462, de 2023, deverá ser incluída tabela com os fornecedores e seus respectivos preços.</w:t>
      </w:r>
    </w:p>
    <w:p>
      <w:r>
        <w:rPr>
          <w:rFonts w:ascii="Liberation Serif" w:hAnsi="Liberation Serif"/>
          <w:lang w:val="en-US" w:eastAsia="en-US" w:bidi="en-US"/>
        </w:rPr>
        <w:t xml:space="preserve">Nesta hipóteses, é provável que outras disposições deste modelo e dos demais modelos (edital, TR e contratos) também sofram alterações, cabendo ao órgão fazer as adequações devidas. </w:t>
      </w:r>
    </w:p>
  </w:comment>
  <w:comment w:id="58"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r>
        <w:fldChar w:fldCharType="begin"/>
      </w:r>
      <w:r>
        <w:instrText> HYPERLINK "https://www.planalto.gov.br/ccivil_03/leis/l8666cons.htm" \l "art61"</w:instrText>
      </w:r>
      <w:r>
        <w:fldChar w:fldCharType="separate"/>
      </w:r>
      <w:r>
        <w:rPr>
          <w:rFonts w:ascii="Liberation Serif" w:hAnsi="Liberation Serif"/>
          <w:i/>
          <w:iCs/>
          <w:color w:val="000000"/>
          <w:lang w:val="en-US" w:eastAsia="en-US" w:bidi="en-US"/>
        </w:rPr>
        <w:t>art. 61 da Lei nº 8.666, de 1993</w:t>
      </w:r>
      <w:r>
        <w:fldChar w:fldCharType="end"/>
      </w:r>
      <w:r>
        <w:rPr>
          <w:rFonts w:ascii="Liberation Serif" w:hAnsi="Liberation Serif"/>
          <w:i/>
          <w:iCs/>
          <w:color w:val="000000"/>
          <w:lang w:val="en-US" w:eastAsia="en-US" w:bidi="en-US"/>
        </w:rPr>
        <w:t xml:space="preserve">, e o </w:t>
      </w:r>
      <w:r>
        <w:fldChar w:fldCharType="begin"/>
      </w:r>
      <w:r>
        <w:instrText> HYPERLINK "http://www.planalto.gov.br/ccivil_03/_ato2019-2022/2021/lei/L14133.htm" \l "art89§1"</w:instrText>
      </w:r>
      <w:r>
        <w:fldChar w:fldCharType="separate"/>
      </w:r>
      <w:r>
        <w:rPr>
          <w:rFonts w:ascii="Liberation Serif" w:hAnsi="Liberation Serif"/>
          <w:i/>
          <w:iCs/>
          <w:color w:val="000000"/>
          <w:lang w:val="en-US" w:eastAsia="en-US" w:bidi="en-US"/>
        </w:rPr>
        <w:t>§1º do art. 89 da Lei nº 14.133, de 1º de abril de 2021</w:t>
      </w:r>
      <w:r>
        <w:fldChar w:fldCharType="end"/>
      </w:r>
      <w:r>
        <w:rPr>
          <w:rFonts w:ascii="Liberation Serif" w:hAnsi="Liberation Serif"/>
          <w:i/>
          <w:iCs/>
          <w:color w:val="000000"/>
          <w:lang w:val="en-US" w:eastAsia="en-US" w:bidi="en-US"/>
        </w:rPr>
        <w:t>, exigem apenas esse dado”.</w:t>
      </w:r>
    </w:p>
  </w:comment>
  <w:comment w:id="59" w:author="Autor" w:date="0-00-00T00:00:00Z" w:initials="A">
    <w:p>
      <w:r>
        <w:rPr>
          <w:rFonts w:ascii="Liberation Serif" w:hAnsi="Liberation Serif"/>
          <w:b/>
          <w:bCs/>
          <w:i/>
          <w:iCs/>
          <w:color w:val="000000"/>
          <w:lang w:val="en-US" w:eastAsia="en-US" w:bidi="en-US"/>
        </w:rPr>
        <w:t>Nota Explicativa 1:</w:t>
      </w:r>
      <w:r>
        <w:rPr>
          <w:rFonts w:ascii="Liberation Serif" w:hAnsi="Liberation Serif"/>
          <w:i/>
          <w:iCs/>
          <w:lang w:val="en-US" w:eastAsia="en-US" w:bidi="en-US"/>
        </w:rPr>
        <w:t xml:space="preserve"> Utilizar a redação do item 2.3 e seguintes para </w:t>
      </w:r>
      <w:r>
        <w:rPr>
          <w:rFonts w:ascii="Liberation Serif" w:hAnsi="Liberation Serif"/>
          <w:b/>
          <w:bCs/>
          <w:i/>
          <w:iCs/>
          <w:lang w:val="en-US" w:eastAsia="en-US" w:bidi="en-US"/>
        </w:rPr>
        <w:t>contratações de serviços contínuos</w:t>
      </w:r>
      <w:r>
        <w:rPr>
          <w:rFonts w:ascii="Liberation Serif" w:hAnsi="Liberation Serif"/>
          <w:i/>
          <w:iCs/>
          <w:lang w:val="en-US" w:eastAsia="en-US" w:bidi="en-US"/>
        </w:rPr>
        <w:t xml:space="preserve">, conforme </w:t>
      </w:r>
      <w:r>
        <w:fldChar w:fldCharType="begin"/>
      </w:r>
      <w:r>
        <w:instrText> HYPERLINK "http://www.planalto.gov.br/ccivil_03/_ato2019-2022/2021/lei/L14133.htm" \l "art106"</w:instrText>
      </w:r>
      <w:r>
        <w:fldChar w:fldCharType="separate"/>
      </w:r>
      <w:r>
        <w:rPr>
          <w:rFonts w:ascii="Liberation Serif" w:hAnsi="Liberation Serif"/>
          <w:i/>
          <w:iCs/>
          <w:lang w:val="en-US" w:eastAsia="en-US" w:bidi="en-US"/>
        </w:rPr>
        <w:t>arts. 106 e 107 da Lei n.º 14.133, de 2021</w:t>
      </w:r>
      <w:r>
        <w:fldChar w:fldCharType="end"/>
      </w:r>
      <w:r>
        <w:rPr>
          <w:rFonts w:ascii="Liberation Serif" w:hAnsi="Liberation Serif"/>
          <w:i/>
          <w:iCs/>
          <w:lang w:val="en-US" w:eastAsia="en-US" w:bidi="en-US"/>
        </w:rPr>
        <w:t xml:space="preserve">, considerando a definição do </w:t>
      </w:r>
      <w:r>
        <w:fldChar w:fldCharType="begin"/>
      </w:r>
      <w:r>
        <w:instrText> HYPERLINK "http://www.planalto.gov.br/ccivil_03/_ato2019-2022/2021/lei/L14133.htm" \l "art6"</w:instrText>
      </w:r>
      <w:r>
        <w:fldChar w:fldCharType="separate"/>
      </w:r>
      <w:r>
        <w:rPr>
          <w:rFonts w:ascii="Liberation Serif" w:hAnsi="Liberation Serif"/>
          <w:i/>
          <w:iCs/>
          <w:lang w:val="en-US" w:eastAsia="en-US" w:bidi="en-US"/>
        </w:rPr>
        <w:t>art. 6º, XV</w:t>
      </w:r>
      <w:r>
        <w:fldChar w:fldCharType="end"/>
      </w:r>
      <w:r>
        <w:rPr>
          <w:rFonts w:ascii="Liberation Serif" w:hAnsi="Liberation Serif"/>
          <w:i/>
          <w:iCs/>
          <w:lang w:val="en-US" w:eastAsia="en-US" w:bidi="en-US"/>
        </w:rPr>
        <w:t>, do mesmo normativo</w:t>
      </w:r>
      <w:r>
        <w:rPr>
          <w:rFonts w:ascii="Liberation Serif" w:hAnsi="Liberation Serif"/>
          <w:i/>
          <w:iCs/>
          <w:color w:val="000000"/>
          <w:lang w:val="en-US" w:eastAsia="en-US" w:bidi="en-US"/>
        </w:rPr>
        <w:t>.</w:t>
      </w:r>
    </w:p>
    <w:p>
      <w:r>
        <w:rPr>
          <w:rFonts w:ascii="Liberation Serif" w:hAnsi="Liberation Serif"/>
          <w:lang w:val="en-US" w:eastAsia="en-US" w:bidi="en-US"/>
        </w:rPr>
      </w:r>
    </w:p>
    <w:p>
      <w:r>
        <w:rPr>
          <w:rFonts w:ascii="Liberation Serif" w:hAnsi="Liberation Serif"/>
          <w:b/>
          <w:bCs/>
          <w:i/>
          <w:iCs/>
          <w:lang w:val="en-US" w:eastAsia="en-US" w:bidi="en-US"/>
        </w:rPr>
        <w:t xml:space="preserve">Nota Explicativa 2: </w:t>
      </w:r>
      <w:r>
        <w:rPr>
          <w:rFonts w:ascii="Liberation Serif" w:hAnsi="Liberation Serif"/>
          <w:i/>
          <w:iCs/>
          <w:lang w:val="en-US" w:eastAsia="en-US" w:bidi="en-US"/>
        </w:rPr>
        <w:t>Indicar o prazo inicial da contratação, que deverá ser de no máximo 5 (cinco) anos.</w:t>
      </w:r>
    </w:p>
    <w:p>
      <w:r>
        <w:rPr>
          <w:rFonts w:ascii="Liberation Serif" w:hAnsi="Liberation Serif"/>
          <w:lang w:val="en-US" w:eastAsia="en-US" w:bidi="en-US"/>
        </w:rPr>
      </w:r>
    </w:p>
    <w:p>
      <w:r>
        <w:rPr>
          <w:rFonts w:ascii="Liberation Serif" w:hAnsi="Liberation Serif"/>
          <w:lang w:val="en-US" w:eastAsia="en-US" w:bidi="en-US"/>
        </w:rPr>
        <w:t>Nota explicativa 3: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60"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A Lei n.º 14.133, de 2021 em seu artigo 25, §7º fixou a necessidade da estipulação no contrato, </w:t>
      </w:r>
      <w:r>
        <w:rPr>
          <w:rFonts w:ascii="Liberation Serif" w:hAnsi="Liberation Serif"/>
          <w:b/>
          <w:bCs/>
          <w:i/>
          <w:iCs/>
          <w:color w:val="000000"/>
          <w:lang w:val="en-US" w:eastAsia="en-US" w:bidi="en-US"/>
        </w:rPr>
        <w:t>independente do prazo de sua duração</w:t>
      </w:r>
      <w:r>
        <w:rPr>
          <w:rFonts w:ascii="Liberation Serif" w:hAnsi="Liberation Serif"/>
          <w:i/>
          <w:iCs/>
          <w:color w:val="000000"/>
          <w:lang w:val="en-US" w:eastAsia="en-US" w:bidi="en-US"/>
        </w:rPr>
        <w:t xml:space="preserve">, de índice de reajustamento de preço, com data-base vinculada à data do orçamento estimado. </w:t>
      </w:r>
    </w:p>
    <w:p>
      <w:r>
        <w:rPr>
          <w:rFonts w:ascii="Liberation Serif" w:hAnsi="Liberation Serif"/>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i/>
          <w:iCs/>
          <w:color w:val="000000"/>
          <w:lang w:val="en-US" w:eastAsia="en-US" w:bidi="en-US"/>
        </w:rPr>
        <w:t xml:space="preserve">Importa enfatizar que o marco inicial para a contagem da anualidade é a </w:t>
      </w:r>
      <w:r>
        <w:rPr>
          <w:rFonts w:ascii="Liberation Serif" w:hAnsi="Liberation Serif"/>
          <w:b/>
          <w:bCs/>
          <w:i/>
          <w:iCs/>
          <w:color w:val="000000"/>
          <w:lang w:val="en-US" w:eastAsia="en-US" w:bidi="en-US"/>
        </w:rPr>
        <w:t>data do orçamento estimado</w:t>
      </w:r>
      <w:r>
        <w:rPr>
          <w:rFonts w:ascii="Liberation Serif" w:hAnsi="Liberation Serif"/>
          <w:i/>
          <w:iCs/>
          <w:color w:val="000000"/>
          <w:lang w:val="en-US" w:eastAsia="en-US" w:bidi="en-US"/>
        </w:rPr>
        <w:t>, o que representa um aperfeiçoamento em relação à sistemática anterior. Isso torna indispensável que o orçamento contenha a data específica a que se refere.</w:t>
      </w:r>
    </w:p>
  </w:comment>
  <w:comment w:id="61"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O cômputo do valor total do Termo de Contrato levará em conta o período inicial de vigência estabelecido.</w:t>
      </w:r>
    </w:p>
  </w:comment>
  <w:comment w:id="62"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Caso se trate de contrato de valor estimativo, em que a própria demanda é variável, cabe inserir o subitem 5.4.</w:t>
      </w:r>
    </w:p>
  </w:comment>
  <w:comment w:id="63" w:author="Autor" w:date="0-00-00T00:00:00Z" w:initials="A">
    <w:p>
      <w:r>
        <w:rPr>
          <w:rFonts w:ascii="Liberation Serif" w:hAnsi="Liberation Serif"/>
          <w:lang w:val="en-US" w:eastAsia="en-US" w:bidi="en-US"/>
        </w:rPr>
      </w:r>
    </w:p>
    <w:p>
      <w:r>
        <w:rPr>
          <w:rFonts w:ascii="Liberation Serif" w:hAnsi="Liberation Serif"/>
          <w:b/>
          <w:bCs/>
          <w:i/>
          <w:iCs/>
          <w:color w:val="000000"/>
          <w:lang w:val="en-US" w:eastAsia="en-US" w:bidi="en-US"/>
        </w:rPr>
        <w:t xml:space="preserve">Nota Explicativa: </w:t>
      </w:r>
      <w:r>
        <w:rPr>
          <w:rFonts w:ascii="Liberation Serif" w:hAnsi="Liberation Serif"/>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64" w:author="Autor" w:date="0-00-00T00:00:00Z" w:initials="A">
    <w:p>
      <w:r>
        <w:rPr>
          <w:rFonts w:ascii="Liberation Serif" w:hAnsi="Liberation Serif"/>
          <w:lang w:val="en-US" w:eastAsia="en-US" w:bidi="en-US"/>
        </w:rPr>
      </w:r>
    </w:p>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Deverá a Administração indicar o índice de preços a ser utilizado para a atualização monetária do valor devido ao contratado, de acordo com objeto. Ex</w:t>
      </w:r>
      <w:r>
        <w:rPr>
          <w:rFonts w:ascii="Liberation Serif" w:hAnsi="Liberation Serif"/>
          <w:iCs/>
          <w:color w:val="000000"/>
          <w:lang w:val="en-US" w:eastAsia="en-US" w:bidi="en-US"/>
        </w:rPr>
        <w:t xml:space="preserve">.: INCC- </w:t>
      </w:r>
      <w:r>
        <w:rPr>
          <w:rFonts w:ascii="Liberation Serif" w:hAnsi="Liberation Serif"/>
          <w:bCs/>
          <w:iCs/>
          <w:color w:val="000000"/>
          <w:lang w:val="en-US" w:eastAsia="en-US" w:bidi="en-US"/>
        </w:rPr>
        <w:t>Índice Nacional de Custo da Construção Civil</w:t>
      </w:r>
      <w:r>
        <w:rPr>
          <w:rFonts w:ascii="Liberation Serif" w:hAnsi="Liberation Serif"/>
          <w:iCs/>
          <w:color w:val="000000"/>
          <w:lang w:val="en-US" w:eastAsia="en-US" w:bidi="en-US"/>
        </w:rPr>
        <w:t>.</w:t>
      </w:r>
    </w:p>
  </w:comment>
  <w:comment w:id="65" w:author="Autor" w:date="0-00-00T00:00:00Z" w:initials="A">
    <w:p>
      <w:r>
        <w:rPr>
          <w:rFonts w:ascii="Liberation Serif" w:hAnsi="Liberation Serif"/>
          <w:lang w:val="en-US" w:eastAsia="en-US" w:bidi="en-US"/>
        </w:rPr>
        <w:t xml:space="preserve">Conforme Lei Municipal </w:t>
      </w:r>
      <w:r>
        <w:rPr>
          <w:rFonts w:ascii="Liberation Serif" w:hAnsi="Liberation Serif"/>
          <w:i/>
          <w:iCs/>
          <w:color w:val="000000"/>
          <w:lang w:val="en-US" w:eastAsia="en-US" w:bidi="en-US"/>
        </w:rPr>
        <w:t>Complementar nº 01/2003 - Art. 242 O Município não celebrará contrato ou aceitará proposta em concorrência pública, nem efetuará pagamento de qualquer crédito, sem que o contratante ou proponente faça prova por certidão negativa, da quitação de todos os tributos devidos à Fazenda Municipal, relativos à atividade em cujo exercício contrata ou concorre.</w:t>
      </w:r>
    </w:p>
  </w:comment>
  <w:comment w:id="66"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w:t>
      </w:r>
      <w:r>
        <w:fldChar w:fldCharType="begin"/>
      </w:r>
      <w:r>
        <w:instrText> HYPERLINK "http://www.planalto.gov.br/ccivil_03/_ato2019-2022/2021/lei/L14133.htm" \l "art25§7"</w:instrText>
      </w:r>
      <w:r>
        <w:fldChar w:fldCharType="separate"/>
      </w:r>
      <w:r>
        <w:rPr>
          <w:rFonts w:ascii="Liberation Serif" w:hAnsi="Liberation Serif"/>
          <w:i/>
          <w:iCs/>
          <w:color w:val="000000"/>
          <w:lang w:val="en-US" w:eastAsia="en-US" w:bidi="en-US"/>
        </w:rPr>
        <w:t>A Lei n.º 14.133, de 2021 em seu artigo 25, §7º</w:t>
      </w:r>
      <w:r>
        <w:fldChar w:fldCharType="end"/>
      </w:r>
      <w:r>
        <w:rPr>
          <w:rFonts w:ascii="Liberation Serif" w:hAnsi="Liberation Serif"/>
          <w:i/>
          <w:iCs/>
          <w:color w:val="000000"/>
          <w:lang w:val="en-US" w:eastAsia="en-US" w:bidi="en-US"/>
        </w:rPr>
        <w:t xml:space="preserve"> fixou a necessidade da estipulação no contrato, </w:t>
      </w:r>
      <w:r>
        <w:rPr>
          <w:rFonts w:ascii="Liberation Serif" w:hAnsi="Liberation Serif"/>
          <w:b/>
          <w:bCs/>
          <w:i/>
          <w:iCs/>
          <w:color w:val="000000"/>
          <w:lang w:val="en-US" w:eastAsia="en-US" w:bidi="en-US"/>
        </w:rPr>
        <w:t>independente do prazo de sua duração</w:t>
      </w:r>
      <w:r>
        <w:rPr>
          <w:rFonts w:ascii="Liberation Serif" w:hAnsi="Liberation Serif"/>
          <w:i/>
          <w:iCs/>
          <w:color w:val="000000"/>
          <w:lang w:val="en-US" w:eastAsia="en-US" w:bidi="en-US"/>
        </w:rPr>
        <w:t xml:space="preserve">, de índice de reajustamento de preço, com data-base vinculada à data do orçamento estimado. </w:t>
      </w:r>
    </w:p>
    <w:p>
      <w:r>
        <w:rPr>
          <w:rFonts w:ascii="Liberation Serif" w:hAnsi="Liberation Serif"/>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i/>
          <w:iCs/>
          <w:color w:val="000000"/>
          <w:lang w:val="en-US" w:eastAsia="en-US" w:bidi="en-US"/>
        </w:rPr>
        <w:t xml:space="preserve">A </w:t>
      </w:r>
      <w:hyperlink r:id="rId9">
        <w:r>
          <w:rPr>
            <w:rFonts w:ascii="Liberation Serif" w:hAnsi="Liberation Serif"/>
            <w:i/>
            <w:iCs/>
            <w:color w:val="000000"/>
            <w:lang w:val="en-US" w:eastAsia="en-US" w:bidi="en-US"/>
          </w:rPr>
          <w:t>Lei n.º 14.133, de 2021</w:t>
        </w:r>
      </w:hyperlink>
      <w:r>
        <w:rPr>
          <w:rFonts w:ascii="Liberation Serif" w:hAnsi="Liberation Serif"/>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i/>
          <w:iCs/>
          <w:color w:val="000000"/>
          <w:lang w:val="en-US" w:eastAsia="en-US" w:bidi="en-US"/>
        </w:rPr>
        <w:t xml:space="preserve">Importa enfatizar que o marco inicial para a contagem da anualidade é a </w:t>
      </w:r>
      <w:r>
        <w:rPr>
          <w:rFonts w:ascii="Liberation Serif" w:hAnsi="Liberation Serif"/>
          <w:b/>
          <w:bCs/>
          <w:i/>
          <w:iCs/>
          <w:color w:val="000000"/>
          <w:lang w:val="en-US" w:eastAsia="en-US" w:bidi="en-US"/>
        </w:rPr>
        <w:t>data do orçamento estimado</w:t>
      </w:r>
      <w:r>
        <w:rPr>
          <w:rFonts w:ascii="Liberation Serif" w:hAnsi="Liberation Serif"/>
          <w:i/>
          <w:iCs/>
          <w:color w:val="000000"/>
          <w:lang w:val="en-US" w:eastAsia="en-US" w:bidi="en-US"/>
        </w:rPr>
        <w:t>, o que representa um aperfeiçoamento em relação à sistemática anterior. Isso torna indispensável que o orçamento contenha a data específica a que se refere.</w:t>
      </w:r>
    </w:p>
  </w:comment>
  <w:comment w:id="68" w:author="Autor" w:date="0-00-00T00:00:00Z" w:initials="A">
    <w:p>
      <w:r>
        <w:rPr>
          <w:rFonts w:ascii="Liberation Serif" w:hAnsi="Liberation Serif"/>
          <w:lang w:val="en-US" w:eastAsia="en-US" w:bidi="en-US"/>
        </w:rPr>
        <w:t xml:space="preserve">Nota explicativa: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comment>
  <w:comment w:id="67" w:author="Autor" w:date="0-00-00T00:00:00Z" w:initials="A">
    <w:p>
      <w:r>
        <w:rPr>
          <w:rFonts w:ascii="Liberation Serif" w:hAnsi="Liberation Serif"/>
          <w:b/>
          <w:bCs/>
          <w:i/>
          <w:iCs/>
          <w:color w:val="000000"/>
          <w:lang w:val="en-US" w:eastAsia="en-US" w:bidi="en-US"/>
        </w:rPr>
        <w:t>Nota Explicativa 1</w:t>
      </w:r>
      <w:r>
        <w:rPr>
          <w:rFonts w:ascii="Liberation Serif" w:hAnsi="Liberation Serif"/>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b/>
          <w:bCs/>
          <w:i/>
          <w:iCs/>
          <w:color w:val="000000"/>
          <w:lang w:val="en-US" w:eastAsia="en-US" w:bidi="en-US"/>
        </w:rPr>
        <w:t xml:space="preserve">Nota Explicativa 2: </w:t>
      </w:r>
      <w:r>
        <w:rPr>
          <w:rFonts w:ascii="Liberation Serif" w:hAnsi="Liberation Serif"/>
          <w:i/>
          <w:iCs/>
          <w:color w:val="000000"/>
          <w:lang w:val="en-US" w:eastAsia="en-US" w:bidi="en-US"/>
        </w:rPr>
        <w:t>A Administração poderá, ainda, utilizar índices diferenciados, inclusive mais de um, de forma justificada, de acordo com as peculiaridades envolvidas no objeto contratual (</w:t>
      </w:r>
      <w:r>
        <w:fldChar w:fldCharType="begin"/>
      </w:r>
      <w:r>
        <w:instrText> HYPERLINK "http://www.planalto.gov.br/ccivil_03/_ato2019-2022/2021/lei/L14133.htm" \l "art25§7"</w:instrText>
      </w:r>
      <w:r>
        <w:fldChar w:fldCharType="separate"/>
      </w:r>
      <w:r>
        <w:rPr>
          <w:rFonts w:ascii="Liberation Serif" w:hAnsi="Liberation Serif"/>
          <w:i/>
          <w:iCs/>
          <w:color w:val="000000"/>
          <w:lang w:val="en-US" w:eastAsia="en-US" w:bidi="en-US"/>
        </w:rPr>
        <w:t>art. 25, § 7º, da Lei n.º 14.133, de 2021</w:t>
      </w:r>
      <w:r>
        <w:fldChar w:fldCharType="end"/>
      </w:r>
      <w:r>
        <w:rPr>
          <w:rFonts w:ascii="Liberation Serif" w:hAnsi="Liberation Serif"/>
          <w:i/>
          <w:iCs/>
          <w:color w:val="000000"/>
          <w:lang w:val="en-US" w:eastAsia="en-US" w:bidi="en-US"/>
        </w:rPr>
        <w:t xml:space="preserve">). Caso haja a utilização de mais de um índice, deverá a Administração ajustar a redação da cláusula de modo a especificar o insumo respectivo sobre o qual incidirá cada índice de correção. </w:t>
      </w:r>
    </w:p>
  </w:comment>
  <w:comment w:id="69" w:author="Autor" w:date="0-00-00T00:00:00Z" w:initials="A">
    <w:p>
      <w:r>
        <w:rPr>
          <w:rFonts w:ascii="Liberation Serif" w:hAnsi="Liberation Serif"/>
          <w:lang w:val="en-US" w:eastAsia="en-US" w:bidi="en-US"/>
        </w:rPr>
        <w:t>Nota Explicativa: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r>
        <w:rPr>
          <w:rFonts w:ascii="Liberation Serif" w:hAnsi="Liberation Serif"/>
          <w:lang w:val="en-US" w:eastAsia="en-US" w:bidi="en-US"/>
        </w:rPr>
      </w:r>
    </w:p>
  </w:comment>
  <w:comment w:id="70" w:author="Autor" w:date="0-00-00T00:00:00Z" w:initials="A">
    <w:p>
      <w:r>
        <w:rPr>
          <w:rFonts w:ascii="Liberation Serif" w:hAnsi="Liberation Serif"/>
          <w:b/>
          <w:bCs/>
          <w:i/>
          <w:iCs/>
          <w:color w:val="000000"/>
          <w:lang w:val="en-US" w:eastAsia="en-US" w:bidi="en-US"/>
        </w:rPr>
        <w:t xml:space="preserve">Nota Explicativa: </w:t>
      </w:r>
      <w:r>
        <w:rPr>
          <w:rFonts w:ascii="Liberation Serif" w:hAnsi="Liberation Serif"/>
          <w:i/>
          <w:iCs/>
          <w:color w:val="000000"/>
          <w:lang w:val="en-US" w:eastAsia="en-US" w:bidi="en-US"/>
        </w:rPr>
        <w:t xml:space="preserve">Nos termos do </w:t>
      </w:r>
      <w:r>
        <w:fldChar w:fldCharType="begin"/>
      </w:r>
      <w:r>
        <w:instrText> HYPERLINK "http://www.planalto.gov.br/ccivil_03/_ato2019-2022/2021/lei/L14133.htm" \l "art123"</w:instrText>
      </w:r>
      <w:r>
        <w:fldChar w:fldCharType="separate"/>
      </w:r>
      <w:r>
        <w:rPr>
          <w:rFonts w:ascii="Liberation Serif" w:hAnsi="Liberation Serif"/>
          <w:i/>
          <w:iCs/>
          <w:color w:val="000000"/>
          <w:lang w:val="en-US" w:eastAsia="en-US" w:bidi="en-US"/>
        </w:rPr>
        <w:t>art. 123 da Lei nº 14.133/21</w:t>
      </w:r>
      <w:r>
        <w:fldChar w:fldCharType="end"/>
      </w:r>
      <w:r>
        <w:rPr>
          <w:rFonts w:ascii="Liberation Serif" w:hAnsi="Liberation Serif"/>
          <w:i/>
          <w:iCs/>
          <w:color w:val="000000"/>
          <w:lang w:val="en-US" w:eastAsia="en-US" w:bidi="en-US"/>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r>
        <w:fldChar w:fldCharType="begin"/>
      </w:r>
      <w:r>
        <w:instrText> HYPERLINK "http://www.planalto.gov.br/ccivil_03/_ato2019-2022/2021/lei/L14133.htm" \l "art123"</w:instrText>
      </w:r>
      <w:r>
        <w:fldChar w:fldCharType="separate"/>
      </w:r>
      <w:r>
        <w:rPr>
          <w:rFonts w:ascii="Liberation Serif" w:hAnsi="Liberation Serif"/>
          <w:i/>
          <w:iCs/>
          <w:color w:val="000000"/>
          <w:lang w:val="en-US" w:eastAsia="en-US" w:bidi="en-US"/>
        </w:rPr>
        <w:t>art. 123, parágrafo único, da Lei n.º 14.133, de 2021</w:t>
      </w:r>
      <w:r>
        <w:fldChar w:fldCharType="end"/>
      </w:r>
      <w:r>
        <w:rPr>
          <w:rFonts w:ascii="Liberation Serif" w:hAnsi="Liberation Serif"/>
          <w:i/>
          <w:iCs/>
          <w:color w:val="000000"/>
          <w:lang w:val="en-US" w:eastAsia="en-US" w:bidi="en-US"/>
        </w:rPr>
        <w:t xml:space="preserve">, e o </w:t>
      </w:r>
      <w:r>
        <w:fldChar w:fldCharType="begin"/>
      </w:r>
      <w:r>
        <w:instrText> HYPERLINK "https://in.gov.br/en/web/dou/-/decreto-n-11.246-de-27-de-outubro-de-2022-440217660" \l "art28"</w:instrText>
      </w:r>
      <w:r>
        <w:fldChar w:fldCharType="separate"/>
      </w:r>
      <w:r>
        <w:rPr>
          <w:rFonts w:ascii="Liberation Serif" w:hAnsi="Liberation Serif"/>
          <w:i/>
          <w:iCs/>
          <w:color w:val="000000"/>
          <w:lang w:val="en-US" w:eastAsia="en-US" w:bidi="en-US"/>
        </w:rPr>
        <w:t>art. 28, do Decreto n.º 11.246, de 2022</w:t>
      </w:r>
      <w:r>
        <w:fldChar w:fldCharType="end"/>
      </w:r>
      <w:r>
        <w:rPr>
          <w:rFonts w:ascii="Liberation Serif" w:hAnsi="Liberation Serif"/>
          <w:i/>
          <w:iCs/>
          <w:color w:val="000000"/>
          <w:lang w:val="en-US" w:eastAsia="en-US" w:bidi="en-US"/>
        </w:rPr>
        <w:t>, estabelecem que o prazo será de um mês.</w:t>
      </w:r>
    </w:p>
  </w:comment>
  <w:comment w:id="71"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 xml:space="preserve"> O </w:t>
      </w:r>
      <w:r>
        <w:fldChar w:fldCharType="begin"/>
      </w:r>
      <w:r>
        <w:instrText> HYPERLINK "http://www.planalto.gov.br/ccivil_03/_ato2019-2022/2021/lei/L14133.htm" \l "art92"</w:instrText>
      </w:r>
      <w:r>
        <w:fldChar w:fldCharType="separate"/>
      </w:r>
      <w:r>
        <w:rPr>
          <w:rFonts w:ascii="Liberation Serif" w:hAnsi="Liberation Serif"/>
          <w:i/>
          <w:iCs/>
          <w:lang w:val="en-US" w:eastAsia="en-US" w:bidi="en-US"/>
        </w:rPr>
        <w:t>art. 92, inciso XI, da Lei nº 14.133, de 2021</w:t>
      </w:r>
      <w:r>
        <w:fldChar w:fldCharType="end"/>
      </w:r>
      <w:r>
        <w:rPr>
          <w:rFonts w:ascii="Liberation Serif" w:hAnsi="Liberation Serif"/>
          <w:i/>
          <w:iCs/>
          <w:lang w:val="en-US" w:eastAsia="en-US" w:bidi="en-U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r>
        <w:fldChar w:fldCharType="begin"/>
      </w:r>
      <w:r>
        <w:instrText> HYPERLINK "http://www.planalto.gov.br/ccivil_03/_ato2019-2022/2021/lei/L14133.htm" \l "art123"</w:instrText>
      </w:r>
      <w:r>
        <w:fldChar w:fldCharType="separate"/>
      </w:r>
      <w:r>
        <w:rPr>
          <w:rFonts w:ascii="Liberation Serif" w:hAnsi="Liberation Serif"/>
          <w:i/>
          <w:iCs/>
          <w:lang w:val="en-US" w:eastAsia="en-US" w:bidi="en-US"/>
        </w:rPr>
        <w:t>art. 123 do texto legal</w:t>
      </w:r>
      <w:r>
        <w:fldChar w:fldCharType="end"/>
      </w:r>
      <w:r>
        <w:rPr>
          <w:rFonts w:ascii="Liberation Serif" w:hAnsi="Liberation Serif"/>
          <w:i/>
          <w:iCs/>
          <w:lang w:val="en-US" w:eastAsia="en-US" w:bidi="en-US"/>
        </w:rPr>
        <w:t>, o que deverá ser analisado conforme as especificidades de cada órgão.</w:t>
      </w:r>
    </w:p>
  </w:comment>
  <w:comment w:id="72"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Esta disposição decorre do </w:t>
      </w:r>
      <w:r>
        <w:fldChar w:fldCharType="begin"/>
      </w:r>
      <w:r>
        <w:instrText> HYPERLINK "http://www.planalto.gov.br/ccivil_03/_ato2019-2022/2021/lei/L14133.htm" \l "art137§4"</w:instrText>
      </w:r>
      <w:r>
        <w:fldChar w:fldCharType="separate"/>
      </w:r>
      <w:r>
        <w:rPr>
          <w:rFonts w:ascii="Liberation Serif" w:hAnsi="Liberation Serif"/>
          <w:i/>
          <w:iCs/>
          <w:color w:val="000000"/>
          <w:lang w:val="en-US" w:eastAsia="en-US" w:bidi="en-US"/>
        </w:rPr>
        <w:t>§4º, do art. 137, da Lei nº 14.133, de 2021</w:t>
      </w:r>
      <w:r>
        <w:fldChar w:fldCharType="end"/>
      </w:r>
      <w:r>
        <w:rPr>
          <w:rFonts w:ascii="Liberation Serif" w:hAnsi="Liberation Serif"/>
          <w:i/>
          <w:iCs/>
          <w:color w:val="000000"/>
          <w:lang w:val="en-US" w:eastAsia="en-US" w:bidi="en-US"/>
        </w:rPr>
        <w:t>.</w:t>
      </w:r>
    </w:p>
  </w:comment>
  <w:comment w:id="73"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i/>
          <w:iCs/>
          <w:lang w:val="en-US" w:eastAsia="en-US" w:bidi="en-US"/>
        </w:rPr>
        <w:t>objeto.</w:t>
      </w:r>
    </w:p>
  </w:comment>
  <w:comment w:id="74" w:author="Autor" w:date="0-00-00T00:00:00Z" w:initials="A">
    <w:p>
      <w:r>
        <w:rPr>
          <w:rFonts w:ascii="Liberation Serif" w:hAnsi="Liberation Serif"/>
          <w:b/>
          <w:bCs/>
          <w:i/>
          <w:iCs/>
          <w:color w:val="000000"/>
          <w:lang w:val="en-US" w:eastAsia="en-US" w:bidi="en-US"/>
        </w:rPr>
        <w:t>Nota explicativa 1:</w:t>
      </w:r>
      <w:r>
        <w:rPr>
          <w:rFonts w:ascii="Liberation Serif" w:hAnsi="Liberation Serif"/>
          <w:i/>
          <w:iCs/>
          <w:color w:val="000000"/>
          <w:lang w:val="en-US" w:eastAsia="en-US" w:bidi="en-US"/>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r>
        <w:rPr>
          <w:rFonts w:ascii="Liberation Serif" w:hAnsi="Liberation Serif"/>
          <w:i/>
          <w:iCs/>
          <w:color w:val="000000"/>
          <w:lang w:val="en-US" w:eastAsia="en-US" w:bidi="en-US"/>
        </w:rPr>
        <w:t xml:space="preserve">Via de regra, a prestação de serviços de modo geral é hipótese de incidência de tributação municipal (Imposto Sobre Serviços de Qualquer Natureza - ISSQN), conforme lista anexa </w:t>
      </w:r>
      <w:hyperlink r:id="rId10">
        <w:r>
          <w:rPr>
            <w:rFonts w:ascii="Liberation Serif" w:hAnsi="Liberation Serif"/>
            <w:i/>
            <w:iCs/>
            <w:color w:val="000000"/>
            <w:lang w:val="en-US" w:eastAsia="en-US" w:bidi="en-US"/>
          </w:rPr>
          <w:t>à Lei Complementar nº 116/2003</w:t>
        </w:r>
      </w:hyperlink>
      <w:r>
        <w:rPr>
          <w:rFonts w:ascii="Liberation Serif" w:hAnsi="Liberation Serif"/>
          <w:i/>
          <w:iCs/>
          <w:color w:val="000000"/>
          <w:lang w:val="en-US" w:eastAsia="en-US" w:bidi="en-US"/>
        </w:rPr>
        <w:t xml:space="preserve">.  </w:t>
      </w:r>
    </w:p>
    <w:p>
      <w:r>
        <w:rPr>
          <w:rFonts w:ascii="Liberation Serif" w:hAnsi="Liberation Serif"/>
          <w:i/>
          <w:iCs/>
          <w:color w:val="000000"/>
          <w:lang w:val="en-US" w:eastAsia="en-US" w:bidi="en-US"/>
        </w:rPr>
        <w:t>Existem, contudo, situações em que a prestação de um serviço pode dar ensejo à incidência de tributação estadual pelo ICMS. Como exemplos, citem-se os serviços de transporte interestadual e intermunicipal e os serviços de comunicação (</w:t>
      </w:r>
      <w:r>
        <w:fldChar w:fldCharType="begin"/>
      </w:r>
      <w:r>
        <w:instrText> HYPERLINK "https://www.planalto.gov.br/ccivil_03/constituicao/constituicao.htm" \l "art155"</w:instrText>
      </w:r>
      <w:r>
        <w:fldChar w:fldCharType="separate"/>
      </w:r>
      <w:r>
        <w:rPr>
          <w:rFonts w:ascii="Liberation Serif" w:hAnsi="Liberation Serif"/>
          <w:i/>
          <w:iCs/>
          <w:color w:val="000000"/>
          <w:lang w:val="en-US" w:eastAsia="en-US" w:bidi="en-US"/>
        </w:rPr>
        <w:t>art. 155, II, da CF/88</w:t>
      </w:r>
      <w:r>
        <w:fldChar w:fldCharType="end"/>
      </w:r>
      <w:r>
        <w:rPr>
          <w:rFonts w:ascii="Liberation Serif" w:hAnsi="Liberation Serif"/>
          <w:i/>
          <w:iCs/>
          <w:color w:val="000000"/>
          <w:lang w:val="en-US" w:eastAsia="en-US" w:bidi="en-US"/>
        </w:rPr>
        <w:t xml:space="preserve">), bem como as exceções expressamente previstas na lista da referida LC 116/2003. </w:t>
      </w:r>
    </w:p>
  </w:comment>
  <w:comment w:id="75" w:author="Autor" w:date="0-00-00T00:00:00Z" w:initials="A">
    <w:p>
      <w:r>
        <w:rPr>
          <w:rFonts w:ascii="Liberation Serif" w:hAnsi="Liberation Serif"/>
          <w:lang w:val="en-US" w:eastAsia="en-US" w:bidi="en-US"/>
        </w:rPr>
        <w:t xml:space="preserve">Conforme Lei Municipal </w:t>
      </w:r>
      <w:r>
        <w:rPr>
          <w:rFonts w:ascii="Liberation Serif" w:hAnsi="Liberation Serif"/>
          <w:i/>
          <w:iCs/>
          <w:color w:val="000000"/>
          <w:lang w:val="en-US" w:eastAsia="en-US" w:bidi="en-US"/>
        </w:rPr>
        <w:t>Complementar nº 01/2003 - Art. 242 O Município não celebrará contrato ou aceitará proposta em concorrência pública, nem efetuará pagamento de qualquer crédito, sem que o contratante ou proponente faça prova por certidão negativa, da quitação de todos os tributos devidos à Fazenda Municipal, relativos à atividade em cujo exercício contrata ou concorre.</w:t>
      </w:r>
    </w:p>
  </w:comment>
  <w:comment w:id="76" w:author="Autor" w:date="0-00-00T00:00:00Z" w:initials="A">
    <w:p>
      <w:r>
        <w:rPr>
          <w:rFonts w:ascii="Liberation Serif" w:hAnsi="Liberation Serif"/>
          <w:b/>
          <w:bCs/>
          <w:i/>
          <w:iCs/>
          <w:color w:val="000000"/>
          <w:lang w:val="en-US" w:eastAsia="en-US" w:bidi="en-US"/>
        </w:rPr>
        <w:t xml:space="preserve">Nota Explicativa 1: </w:t>
      </w:r>
      <w:r>
        <w:rPr>
          <w:rFonts w:ascii="Liberation Serif" w:hAnsi="Liberation Serif"/>
          <w:i/>
          <w:iCs/>
          <w:color w:val="000000"/>
          <w:lang w:val="en-US" w:eastAsia="en-US" w:bidi="en-US"/>
        </w:rPr>
        <w:t xml:space="preserve">As cláusulas 10.1 a 10.12 são necessárias para cumprimento </w:t>
      </w:r>
      <w:hyperlink r:id="rId11">
        <w:r>
          <w:rPr>
            <w:rFonts w:ascii="Liberation Serif" w:hAnsi="Liberation Serif"/>
            <w:i/>
            <w:iCs/>
            <w:color w:val="000000"/>
            <w:lang w:val="en-US" w:eastAsia="en-US" w:bidi="en-US"/>
          </w:rPr>
          <w:t>da Lei nº 13.709, de 14 de agosto de 2018 (LGPD</w:t>
        </w:r>
      </w:hyperlink>
      <w:r>
        <w:rPr>
          <w:rFonts w:ascii="Liberation Serif" w:hAnsi="Liberation Serif"/>
          <w:i/>
          <w:iCs/>
          <w:color w:val="000000"/>
          <w:lang w:val="en-US" w:eastAsia="en-US" w:bidi="en-US"/>
        </w:rPr>
        <w:t>), caso a contratação envolva, de qualquer forma, o tratamento de dados pessoais, devendo ser incluída e ajustada nessa hipótese.</w:t>
      </w:r>
    </w:p>
    <w:p>
      <w:r>
        <w:rPr>
          <w:rFonts w:ascii="Liberation Serif" w:hAnsi="Liberation Serif"/>
          <w:b/>
          <w:bCs/>
          <w:i/>
          <w:iCs/>
          <w:color w:val="000000"/>
          <w:lang w:val="en-US" w:eastAsia="en-US" w:bidi="en-US"/>
        </w:rPr>
        <w:t xml:space="preserve">Nota Explicativa 2: </w:t>
      </w:r>
      <w:r>
        <w:rPr>
          <w:rFonts w:ascii="Liberation Serif" w:hAnsi="Liberation Serif"/>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r>
        <w:rPr>
          <w:rFonts w:ascii="Liberation Serif" w:hAnsi="Liberation Serif"/>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r>
        <w:rPr>
          <w:rFonts w:ascii="Liberation Serif" w:hAnsi="Liberation Serif"/>
          <w:i/>
          <w:iCs/>
          <w:color w:val="000000"/>
          <w:lang w:val="en-US" w:eastAsia="en-US" w:bidi="en-US"/>
        </w:rPr>
        <w:t>O tema deve ser avaliado pela Administração com base nos riscos da contratação em relação aos dados pessoais eventualmente envolvidos.</w:t>
      </w:r>
    </w:p>
  </w:comment>
  <w:comment w:id="77"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78"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Se o Contratante entender oportuno, é possível especificar, nesta cláusula, rotinas ou diligências mais adequadas ao objeto contratual respectivo. </w:t>
      </w:r>
    </w:p>
  </w:comment>
  <w:comment w:id="79" w:author="Autor" w:date="0-00-00T00:00:00Z" w:initials="A">
    <w:p>
      <w:r>
        <w:rPr>
          <w:rFonts w:ascii="Liberation Serif" w:hAnsi="Liberation Serif"/>
          <w:b/>
          <w:bCs/>
          <w:i/>
          <w:iCs/>
          <w:color w:val="000000"/>
          <w:lang w:val="en-US" w:eastAsia="en-US" w:bidi="en-US"/>
        </w:rPr>
        <w:t>Nota Explicativa 1</w:t>
      </w:r>
      <w:r>
        <w:rPr>
          <w:rFonts w:ascii="Liberation Serif" w:hAnsi="Liberation Serif"/>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r>
        <w:rPr>
          <w:rFonts w:ascii="Liberation Serif" w:hAnsi="Liberation Serif"/>
          <w:b/>
          <w:bCs/>
          <w:i/>
          <w:iCs/>
          <w:color w:val="000000"/>
          <w:lang w:val="en-US" w:eastAsia="en-US" w:bidi="en-US"/>
        </w:rPr>
        <w:t>Nota explicativa 2:</w:t>
      </w:r>
      <w:r>
        <w:rPr>
          <w:rFonts w:ascii="Liberation Serif" w:hAnsi="Liberation Serif"/>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80" w:author="Autor" w:date="0-00-00T00:00:00Z" w:initials="A">
    <w:p>
      <w:r>
        <w:rPr>
          <w:rFonts w:ascii="Liberation Serif" w:hAnsi="Liberation Serif"/>
          <w:lang w:val="en-US" w:eastAsia="en-US" w:bidi="en-US"/>
        </w:rPr>
      </w:r>
    </w:p>
    <w:p>
      <w:r>
        <w:rPr>
          <w:rFonts w:ascii="Liberation Serif" w:hAnsi="Liberation Serif"/>
          <w:b/>
          <w:bCs/>
          <w:i/>
          <w:iCs/>
          <w:color w:val="000000"/>
          <w:lang w:val="en-US" w:eastAsia="en-US" w:bidi="en-US"/>
        </w:rPr>
        <w:t xml:space="preserve">Nota Explicativa: </w:t>
      </w:r>
      <w:r>
        <w:rPr>
          <w:rFonts w:ascii="Liberation Serif" w:hAnsi="Liberation Serif"/>
          <w:i/>
          <w:iCs/>
          <w:color w:val="000000"/>
          <w:lang w:val="en-US" w:eastAsia="en-US" w:bidi="en-US"/>
        </w:rPr>
        <w:t xml:space="preserve">Incluir os subitens de 10.2 a 10.20.1 se o Termo de Referência contiver a cláusula de garantia contratual dos bens a serem fornecidos. Observar que deverá ser escolhido o subitem 10.2 </w:t>
      </w:r>
      <w:r>
        <w:rPr>
          <w:rFonts w:ascii="Liberation Serif" w:hAnsi="Liberation Serif"/>
          <w:b/>
          <w:bCs/>
          <w:i/>
          <w:iCs/>
          <w:color w:val="000000"/>
          <w:lang w:val="en-US" w:eastAsia="en-US" w:bidi="en-US"/>
        </w:rPr>
        <w:t xml:space="preserve">ou </w:t>
      </w:r>
      <w:r>
        <w:rPr>
          <w:rFonts w:ascii="Liberation Serif" w:hAnsi="Liberation Serif"/>
          <w:i/>
          <w:iCs/>
          <w:color w:val="000000"/>
          <w:lang w:val="en-US" w:eastAsia="en-US" w:bidi="en-US"/>
        </w:rPr>
        <w:t>o 10.3.</w:t>
      </w:r>
    </w:p>
  </w:comment>
  <w:comment w:id="81"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83" w:author="Autor" w:date="0-00-00T00:00:00Z" w:initials="A">
    <w:p>
      <w:r>
        <w:rPr>
          <w:rFonts w:ascii="Liberation Serif" w:hAnsi="Liberation Serif"/>
          <w:b/>
          <w:bCs/>
          <w:i/>
          <w:iCs/>
          <w:lang w:val="en-US" w:eastAsia="en-US" w:bidi="en-US"/>
        </w:rPr>
        <w:t>Nota Explicativa</w:t>
      </w:r>
      <w:r>
        <w:rPr>
          <w:rFonts w:ascii="Liberation Serif" w:hAnsi="Liberation Serif"/>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82" w:author="Autor" w:date="0-00-00T00:00:00Z" w:initials="A">
    <w:p>
      <w:r>
        <w:rPr>
          <w:rFonts w:ascii="Liberation Serif" w:hAnsi="Liberation Serif"/>
          <w:b/>
          <w:bCs/>
          <w:i/>
          <w:iCs/>
          <w:color w:val="000000"/>
          <w:lang w:val="en-US" w:eastAsia="en-US" w:bidi="en-US"/>
        </w:rPr>
        <w:t>Nota Explicativa :</w:t>
      </w:r>
      <w:r>
        <w:rPr>
          <w:rFonts w:ascii="Liberation Serif" w:hAnsi="Liberation Serif"/>
          <w:i/>
          <w:iCs/>
          <w:color w:val="000000"/>
          <w:lang w:val="en-US" w:eastAsia="en-US" w:bidi="en-US"/>
        </w:rPr>
        <w:t xml:space="preserve"> A </w:t>
      </w:r>
      <w:r>
        <w:fldChar w:fldCharType="begin"/>
      </w:r>
      <w:r>
        <w:instrText> HYPERLINK "http://www.planalto.gov.br/ccivil_03/_ato2019-2022/2021/lei/L14133.htm" \l "art162"</w:instrText>
      </w:r>
      <w:r>
        <w:fldChar w:fldCharType="separate"/>
      </w:r>
      <w:r>
        <w:rPr>
          <w:rFonts w:ascii="Liberation Serif" w:hAnsi="Liberation Serif"/>
          <w:i/>
          <w:iCs/>
          <w:color w:val="000000"/>
          <w:lang w:val="en-US" w:eastAsia="en-US" w:bidi="en-US"/>
        </w:rPr>
        <w:t>Lei nº 14.133, de 2021 (art. 162, parágrafo único)</w:t>
      </w:r>
      <w:r>
        <w:fldChar w:fldCharType="end"/>
      </w:r>
      <w:r>
        <w:rPr>
          <w:rFonts w:ascii="Liberation Serif" w:hAnsi="Liberation Serif"/>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84" w:author="Autor" w:date="0-00-00T00:00:00Z" w:initials="A">
    <w:p>
      <w:r>
        <w:rPr>
          <w:rFonts w:ascii="Liberation Serif" w:hAnsi="Liberation Serif"/>
          <w:b/>
          <w:bCs/>
          <w:i/>
          <w:iCs/>
          <w:color w:val="000000"/>
          <w:lang w:val="en-US" w:eastAsia="en-US" w:bidi="en-US"/>
        </w:rPr>
        <w:t xml:space="preserve">Nota Explicativa: </w:t>
      </w:r>
      <w:r>
        <w:rPr>
          <w:rFonts w:ascii="Liberation Serif" w:hAnsi="Liberation Serif"/>
          <w:i/>
          <w:iCs/>
          <w:color w:val="000000"/>
          <w:lang w:val="en-US" w:eastAsia="en-US" w:bidi="en-US"/>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85"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Use a redação dos itens 13.4 a 13.7 para os contratos de serviços contínuos e de aluguel de equipamentos e à utilização de programas de informática (</w:t>
      </w:r>
      <w:r>
        <w:fldChar w:fldCharType="begin"/>
      </w:r>
      <w:r>
        <w:instrText> HYPERLINK "http://www.planalto.gov.br/ccivil_03/_ato2019-2022/2021/lei/L14133.htm" \l "art106"</w:instrText>
      </w:r>
      <w:r>
        <w:fldChar w:fldCharType="separate"/>
      </w:r>
      <w:r>
        <w:rPr>
          <w:rFonts w:ascii="Liberation Serif" w:hAnsi="Liberation Serif"/>
          <w:i/>
          <w:iCs/>
          <w:color w:val="000000"/>
          <w:lang w:val="en-US" w:eastAsia="en-US" w:bidi="en-US"/>
        </w:rPr>
        <w:t>art. 106. NLLC</w:t>
      </w:r>
      <w:r>
        <w:fldChar w:fldCharType="end"/>
      </w:r>
      <w:r>
        <w:rPr>
          <w:rFonts w:ascii="Liberation Serif" w:hAnsi="Liberation Serif"/>
          <w:i/>
          <w:iCs/>
          <w:color w:val="000000"/>
          <w:lang w:val="en-US" w:eastAsia="en-US" w:bidi="en-US"/>
        </w:rPr>
        <w:t>)</w:t>
      </w:r>
    </w:p>
  </w:comment>
  <w:comment w:id="86" w:author="Autor" w:date="0-00-00T00:00:00Z" w:initials="A">
    <w:p>
      <w:r>
        <w:rPr>
          <w:rFonts w:ascii="Liberation Serif" w:hAnsi="Liberation Serif"/>
          <w:b/>
          <w:bCs/>
          <w:i/>
          <w:iCs/>
          <w:color w:val="000000"/>
          <w:lang w:val="en-US" w:eastAsia="en-US" w:bidi="en-US"/>
        </w:rPr>
        <w:t xml:space="preserve">Nota Explicativa: </w:t>
      </w:r>
      <w:r>
        <w:rPr>
          <w:rFonts w:ascii="Liberation Serif" w:hAnsi="Liberation Serif"/>
          <w:i/>
          <w:iCs/>
          <w:color w:val="000000"/>
          <w:lang w:val="en-US" w:eastAsia="en-US" w:bidi="en-US"/>
        </w:rPr>
        <w:t xml:space="preserve">A sistemática do item 13.7 decorre do que dispõe o </w:t>
      </w:r>
      <w:r>
        <w:fldChar w:fldCharType="begin"/>
      </w:r>
      <w:r>
        <w:instrText> HYPERLINK "http://www.planalto.gov.br/ccivil_03/_ato2019-2022/2021/lei/L14133.htm" \l "art106§1"</w:instrText>
      </w:r>
      <w:r>
        <w:fldChar w:fldCharType="separate"/>
      </w:r>
      <w:r>
        <w:rPr>
          <w:rFonts w:ascii="Liberation Serif" w:hAnsi="Liberation Serif"/>
          <w:i/>
          <w:iCs/>
          <w:color w:val="000000"/>
          <w:lang w:val="en-US" w:eastAsia="en-US" w:bidi="en-US"/>
        </w:rPr>
        <w:t>art. 106, III e §1º, da Lei nº 14.133/21</w:t>
      </w:r>
      <w:r>
        <w:fldChar w:fldCharType="end"/>
      </w:r>
      <w:r>
        <w:rPr>
          <w:rFonts w:ascii="Liberation Serif" w:hAnsi="Liberation Serif"/>
          <w:i/>
          <w:iCs/>
          <w:color w:val="000000"/>
          <w:lang w:val="en-US" w:eastAsia="en-US" w:bidi="en-US"/>
        </w:rPr>
        <w:t xml:space="preserve">. Para a sua compreensão, vale trazer um exemplo: </w:t>
      </w:r>
    </w:p>
    <w:p>
      <w:r>
        <w:rPr>
          <w:rFonts w:ascii="Liberation Serif" w:hAnsi="Liberation Serif"/>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
        <w:rPr>
          <w:rFonts w:ascii="Liberation Serif" w:hAnsi="Liberation Serif"/>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r>
        <w:rPr>
          <w:rFonts w:ascii="Liberation Serif" w:hAnsi="Liberation Serif"/>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r>
        <w:rPr>
          <w:rFonts w:ascii="Liberation Serif" w:hAnsi="Liberation Serif"/>
          <w:i/>
          <w:iCs/>
          <w:color w:val="000000"/>
          <w:lang w:val="en-US" w:eastAsia="en-US" w:bidi="en-US"/>
        </w:rPr>
        <w:t>3) Por fim, uma comunicação de extinção havida após a data de aniversário só teria efeito no aniversário subsequente, salvo se houver enquadramento na situação “2”.</w:t>
      </w:r>
    </w:p>
  </w:comment>
  <w:comment w:id="87"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O </w:t>
      </w:r>
      <w:r>
        <w:fldChar w:fldCharType="begin"/>
      </w:r>
      <w:r>
        <w:instrText> HYPERLINK "http://www.planalto.gov.br/ccivil_03/_ato2019-2022/2021/lei/L14133.htm" \l "art106"</w:instrText>
      </w:r>
      <w:r>
        <w:fldChar w:fldCharType="separate"/>
      </w:r>
      <w:r>
        <w:rPr>
          <w:rFonts w:ascii="Liberation Serif" w:hAnsi="Liberation Serif"/>
          <w:i/>
          <w:iCs/>
          <w:color w:val="000000"/>
          <w:lang w:val="en-US" w:eastAsia="en-US" w:bidi="en-US"/>
        </w:rPr>
        <w:t>art. 106, II, da Lei nº 14.133/21</w:t>
      </w:r>
      <w:r>
        <w:fldChar w:fldCharType="end"/>
      </w:r>
      <w:r>
        <w:rPr>
          <w:rFonts w:ascii="Liberation Serif" w:hAnsi="Liberation Serif"/>
          <w:i/>
          <w:iCs/>
          <w:color w:val="000000"/>
          <w:lang w:val="en-US" w:eastAsia="en-US" w:bidi="en-US"/>
        </w:rPr>
        <w:t xml:space="preserve"> prevê para contratações de serviços continuados que “a Administração deverá atestar, no início da contratação e de cada exercício, a existência de créditos orçamentários vinculados à contratação e a vantagem em sua manutenção”. </w:t>
      </w:r>
    </w:p>
  </w:comment>
  <w:comment w:id="88" w:author="Autor" w:date="0-00-00T00:00:00Z" w:initials="A">
    <w:p>
      <w:r>
        <w:rPr>
          <w:rFonts w:ascii="Liberation Serif" w:hAnsi="Liberation Serif"/>
          <w:b/>
          <w:bCs/>
          <w:i/>
          <w:iCs/>
          <w:color w:val="000000"/>
          <w:lang w:val="en-US" w:eastAsia="en-US" w:bidi="en-US"/>
        </w:rPr>
        <w:t>Nota explicativa:</w:t>
      </w:r>
      <w:r>
        <w:rPr>
          <w:rFonts w:ascii="Liberation Serif" w:hAnsi="Liberation Serif"/>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tabs>
        <w:tab w:val="center" w:pos="4252" w:leader="none"/>
        <w:tab w:val="right" w:pos="8504" w:leader="none"/>
        <w:tab w:val="right" w:pos="9072" w:leader="none"/>
      </w:tabs>
      <w:ind w:left="-567" w:right="-1" w:hanging="0"/>
      <w:jc w:val="right"/>
      <w:rPr/>
    </w:pPr>
    <w:r>
      <w:rPr>
        <w:rFonts w:cs="Arial" w:ascii="Arial" w:hAnsi="Arial"/>
        <w:sz w:val="20"/>
        <w:szCs w:val="20"/>
      </w:rPr>
      <w:fldChar w:fldCharType="begin"/>
    </w:r>
    <w:r>
      <w:rPr>
        <w:sz w:val="20"/>
        <w:szCs w:val="20"/>
        <w:rFonts w:cs="Arial" w:ascii="Arial" w:hAnsi="Arial"/>
      </w:rPr>
      <w:instrText> PAGE </w:instrText>
    </w:r>
    <w:r>
      <w:rPr>
        <w:sz w:val="20"/>
        <w:szCs w:val="20"/>
        <w:rFonts w:cs="Arial" w:ascii="Arial" w:hAnsi="Arial"/>
      </w:rPr>
      <w:fldChar w:fldCharType="separate"/>
    </w:r>
    <w:r>
      <w:rPr>
        <w:sz w:val="20"/>
        <w:szCs w:val="20"/>
        <w:rFonts w:cs="Arial" w:ascii="Arial" w:hAnsi="Arial"/>
      </w:rPr>
      <w:t>48</w:t>
    </w:r>
    <w:r>
      <w:rPr>
        <w:sz w:val="20"/>
        <w:szCs w:val="20"/>
        <w:rFonts w:cs="Arial" w:ascii="Arial" w:hAnsi="Arial"/>
      </w:rPr>
      <w:fldChar w:fldCharType="end"/>
    </w:r>
    <w:r>
      <w:rPr>
        <w:rFonts w:cs="Arial" w:ascii="Arial" w:hAnsi="Arial"/>
        <w:sz w:val="20"/>
        <w:szCs w:val="20"/>
      </w:rPr>
      <w:t>/</w:t>
    </w:r>
    <w:r>
      <w:rPr>
        <w:rFonts w:cs="Arial" w:ascii="Arial" w:hAnsi="Arial"/>
        <w:sz w:val="20"/>
        <w:szCs w:val="20"/>
      </w:rPr>
      <w:fldChar w:fldCharType="begin"/>
    </w:r>
    <w:r>
      <w:rPr>
        <w:sz w:val="20"/>
        <w:szCs w:val="20"/>
        <w:rFonts w:cs="Arial" w:ascii="Arial" w:hAnsi="Arial"/>
      </w:rPr>
      <w:instrText> NUMPAGES </w:instrText>
    </w:r>
    <w:r>
      <w:rPr>
        <w:sz w:val="20"/>
        <w:szCs w:val="20"/>
        <w:rFonts w:cs="Arial" w:ascii="Arial" w:hAnsi="Arial"/>
      </w:rPr>
      <w:fldChar w:fldCharType="separate"/>
    </w:r>
    <w:r>
      <w:rPr>
        <w:sz w:val="20"/>
        <w:szCs w:val="20"/>
        <w:rFonts w:cs="Arial" w:ascii="Arial" w:hAnsi="Arial"/>
      </w:rPr>
      <w:t>49</w:t>
    </w:r>
    <w:r>
      <w:rPr>
        <w:sz w:val="20"/>
        <w:szCs w:val="20"/>
        <w:rFonts w:cs="Arial" w:ascii="Arial" w:hAnsi="Arial"/>
      </w:rPr>
      <w:fldChar w:fldCharType="end"/>
    </w:r>
  </w:p>
  <w:p>
    <w:pPr>
      <w:pStyle w:val="Rodap"/>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_____________________________________________________________________________________    </w:t>
    </w:r>
  </w:p>
  <w:p>
    <w:pPr>
      <w:pStyle w:val="Rodap"/>
      <w:tabs>
        <w:tab w:val="center" w:pos="4252" w:leader="none"/>
        <w:tab w:val="right" w:pos="8504" w:leader="none"/>
        <w:tab w:val="right" w:pos="9072" w:leader="none"/>
      </w:tabs>
      <w:ind w:left="-567" w:right="-1" w:hanging="0"/>
      <w:jc w:val="center"/>
      <w:rPr/>
    </w:pPr>
    <w:r>
      <w:rPr>
        <w:rFonts w:cs="Arial" w:ascii="Arial" w:hAnsi="Arial"/>
        <w:sz w:val="20"/>
        <w:szCs w:val="20"/>
      </w:rPr>
      <w:t xml:space="preserve">Rua Passos de Oliveira, 1101 - São José dos Pinhais - Paraná       CEP 83030-720     </w:t>
    </w:r>
    <w:r>
      <w:rPr>
        <w:rFonts w:cs="Arial" w:ascii="Arial" w:hAnsi="Arial"/>
        <w:b/>
        <w:sz w:val="20"/>
        <w:szCs w:val="20"/>
      </w:rPr>
      <w:t xml:space="preserve">Fone: (41)3381-6800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567" w:right="7937" w:hanging="0"/>
      <w:jc w:val="right"/>
      <w:rPr>
        <w:rFonts w:cs="Arial"/>
        <w:sz w:val="16"/>
        <w:szCs w:val="16"/>
      </w:rPr>
    </w:pPr>
    <w:r>
      <w:rPr>
        <w:rFonts w:cs="Arial"/>
        <w:sz w:val="16"/>
        <w:szCs w:val="16"/>
      </w:rPr>
      <mc:AlternateContent>
        <mc:Choice Requires="wps">
          <w:drawing>
            <wp:anchor behindDoc="1" distT="3175" distB="3175" distL="3175" distR="3175" simplePos="0" locked="0" layoutInCell="0" allowOverlap="1" relativeHeight="147">
              <wp:simplePos x="0" y="0"/>
              <wp:positionH relativeFrom="column">
                <wp:posOffset>675005</wp:posOffset>
              </wp:positionH>
              <wp:positionV relativeFrom="paragraph">
                <wp:posOffset>-25400</wp:posOffset>
              </wp:positionV>
              <wp:extent cx="5237480" cy="532130"/>
              <wp:effectExtent l="0" t="0" r="0" b="0"/>
              <wp:wrapNone/>
              <wp:docPr id="1" name="Quadro1"/>
              <a:graphic xmlns:a="http://schemas.openxmlformats.org/drawingml/2006/main">
                <a:graphicData uri="http://schemas.microsoft.com/office/word/2010/wordprocessingShape">
                  <wps:wsp>
                    <wps:cNvSpPr/>
                    <wps:spPr>
                      <a:xfrm>
                        <a:off x="0" y="0"/>
                        <a:ext cx="5236920" cy="531360"/>
                      </a:xfrm>
                      <a:prstGeom prst="rect">
                        <a:avLst/>
                      </a:prstGeom>
                      <a:solidFill>
                        <a:srgbClr val="ffffff"/>
                      </a:solidFill>
                      <a:ln w="6350">
                        <a:solidFill>
                          <a:srgbClr val="ffffff"/>
                        </a:solidFill>
                        <a:round/>
                      </a:ln>
                    </wps:spPr>
                    <wps:style>
                      <a:lnRef idx="0"/>
                      <a:fillRef idx="0"/>
                      <a:effectRef idx="0"/>
                      <a:fontRef idx="minor"/>
                    </wps:style>
                    <wps:txbx>
                      <w:txbxContent>
                        <w:p>
                          <w:pPr>
                            <w:pStyle w:val="Contedodoquadro"/>
                            <w:rPr>
                              <w:rFonts w:ascii="Arial" w:hAnsi="Arial" w:cs="Arial"/>
                              <w:b/>
                              <w:b/>
                              <w:color w:val="003366"/>
                              <w:sz w:val="36"/>
                              <w:szCs w:val="36"/>
                            </w:rPr>
                          </w:pPr>
                          <w:r>
                            <w:rPr>
                              <w:rFonts w:cs="Arial" w:ascii="Arial" w:hAnsi="Arial"/>
                              <w:b/>
                              <w:color w:val="003366"/>
                              <w:sz w:val="36"/>
                              <w:szCs w:val="36"/>
                            </w:rPr>
                            <w:t>Prefeitura</w:t>
                          </w:r>
                          <w:r>
                            <w:rPr>
                              <w:color w:val="003366"/>
                              <w:sz w:val="36"/>
                              <w:szCs w:val="36"/>
                            </w:rPr>
                            <w:t xml:space="preserve"> </w:t>
                          </w:r>
                          <w:r>
                            <w:rPr>
                              <w:rFonts w:cs="Arial" w:ascii="Arial" w:hAnsi="Arial"/>
                              <w:b/>
                              <w:color w:val="003366"/>
                              <w:sz w:val="36"/>
                              <w:szCs w:val="36"/>
                            </w:rPr>
                            <w:t>Municipal de São José dos Pinhais</w:t>
                          </w:r>
                        </w:p>
                        <w:p>
                          <w:pPr>
                            <w:pStyle w:val="Contedodoquadro"/>
                            <w:jc w:val="center"/>
                            <w:rPr>
                              <w:color w:val="003366"/>
                              <w:sz w:val="18"/>
                              <w:szCs w:val="18"/>
                            </w:rPr>
                          </w:pPr>
                          <w:r>
                            <w:rPr>
                              <w:color w:val="003366"/>
                              <w:sz w:val="18"/>
                              <w:szCs w:val="18"/>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tab/>
                          </w:r>
                        </w:p>
                        <w:p>
                          <w:pPr>
                            <w:pStyle w:val="Contedodoquadro"/>
                            <w:rPr/>
                          </w:pPr>
                          <w:r>
                            <w:rPr/>
                          </w:r>
                        </w:p>
                        <w:p>
                          <w:pPr>
                            <w:pStyle w:val="Contedodoquadro"/>
                            <w:rPr/>
                          </w:pPr>
                          <w:r>
                            <w:rPr/>
                          </w:r>
                        </w:p>
                        <w:p>
                          <w:pPr>
                            <w:pStyle w:val="Contedodoquadro"/>
                            <w:rPr/>
                          </w:pPr>
                          <w:r>
                            <w:rPr/>
                            <w:tab/>
                            <w:tab/>
                            <w:tab/>
                            <w:tab/>
                            <w:tab/>
                            <w:tab/>
                            <w:tab/>
                            <w:tab/>
                            <w:tab/>
                            <w:tab/>
                            <w:tab/>
                            <w:tab/>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wps:txbx>
                    <wps:bodyPr lIns="94680" rIns="94680" tIns="48960" bIns="48960">
                      <a:noAutofit/>
                    </wps:bodyPr>
                  </wps:wsp>
                </a:graphicData>
              </a:graphic>
            </wp:anchor>
          </w:drawing>
        </mc:Choice>
        <mc:Fallback>
          <w:pict>
            <v:rect id="shape_0" ID="Quadro1" path="m0,0l-2147483645,0l-2147483645,-2147483646l0,-2147483646xe" fillcolor="white" stroked="t" style="position:absolute;margin-left:53.15pt;margin-top:-2pt;width:412.3pt;height:41.8pt;mso-wrap-style:square;v-text-anchor:top">
              <v:fill o:detectmouseclick="t" type="solid" color2="black"/>
              <v:stroke color="white" weight="6480" joinstyle="round" endcap="flat"/>
              <v:textbox>
                <w:txbxContent>
                  <w:p>
                    <w:pPr>
                      <w:pStyle w:val="Contedodoquadro"/>
                      <w:rPr>
                        <w:rFonts w:ascii="Arial" w:hAnsi="Arial" w:cs="Arial"/>
                        <w:b/>
                        <w:b/>
                        <w:color w:val="003366"/>
                        <w:sz w:val="36"/>
                        <w:szCs w:val="36"/>
                      </w:rPr>
                    </w:pPr>
                    <w:r>
                      <w:rPr>
                        <w:rFonts w:cs="Arial" w:ascii="Arial" w:hAnsi="Arial"/>
                        <w:b/>
                        <w:color w:val="003366"/>
                        <w:sz w:val="36"/>
                        <w:szCs w:val="36"/>
                      </w:rPr>
                      <w:t>Prefeitura</w:t>
                    </w:r>
                    <w:r>
                      <w:rPr>
                        <w:color w:val="003366"/>
                        <w:sz w:val="36"/>
                        <w:szCs w:val="36"/>
                      </w:rPr>
                      <w:t xml:space="preserve"> </w:t>
                    </w:r>
                    <w:r>
                      <w:rPr>
                        <w:rFonts w:cs="Arial" w:ascii="Arial" w:hAnsi="Arial"/>
                        <w:b/>
                        <w:color w:val="003366"/>
                        <w:sz w:val="36"/>
                        <w:szCs w:val="36"/>
                      </w:rPr>
                      <w:t>Municipal de São José dos Pinhais</w:t>
                    </w:r>
                  </w:p>
                  <w:p>
                    <w:pPr>
                      <w:pStyle w:val="Contedodoquadro"/>
                      <w:jc w:val="center"/>
                      <w:rPr>
                        <w:color w:val="003366"/>
                        <w:sz w:val="18"/>
                        <w:szCs w:val="18"/>
                      </w:rPr>
                    </w:pPr>
                    <w:r>
                      <w:rPr>
                        <w:color w:val="003366"/>
                        <w:sz w:val="18"/>
                        <w:szCs w:val="18"/>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tab/>
                    </w:r>
                  </w:p>
                  <w:p>
                    <w:pPr>
                      <w:pStyle w:val="Contedodoquadro"/>
                      <w:rPr/>
                    </w:pPr>
                    <w:r>
                      <w:rPr/>
                    </w:r>
                  </w:p>
                  <w:p>
                    <w:pPr>
                      <w:pStyle w:val="Contedodoquadro"/>
                      <w:rPr/>
                    </w:pPr>
                    <w:r>
                      <w:rPr/>
                    </w:r>
                  </w:p>
                  <w:p>
                    <w:pPr>
                      <w:pStyle w:val="Contedodoquadro"/>
                      <w:rPr/>
                    </w:pPr>
                    <w:r>
                      <w:rPr/>
                      <w:tab/>
                      <w:tab/>
                      <w:tab/>
                      <w:tab/>
                      <w:tab/>
                      <w:tab/>
                      <w:tab/>
                      <w:tab/>
                      <w:tab/>
                      <w:tab/>
                      <w:tab/>
                      <w:tab/>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v:textbox>
              <w10:wrap type="none"/>
            </v:rect>
          </w:pict>
        </mc:Fallback>
      </mc:AlternateContent>
      <w:drawing>
        <wp:anchor behindDoc="1" distT="0" distB="0" distL="0" distR="0" simplePos="0" locked="0" layoutInCell="0" allowOverlap="1" relativeHeight="50">
          <wp:simplePos x="0" y="0"/>
          <wp:positionH relativeFrom="column">
            <wp:posOffset>-217805</wp:posOffset>
          </wp:positionH>
          <wp:positionV relativeFrom="paragraph">
            <wp:posOffset>3810</wp:posOffset>
          </wp:positionV>
          <wp:extent cx="866140" cy="705485"/>
          <wp:effectExtent l="0" t="0" r="0" b="0"/>
          <wp:wrapNone/>
          <wp:docPr id="3"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
                  <pic:cNvPicPr>
                    <a:picLocks noChangeAspect="1" noChangeArrowheads="1"/>
                  </pic:cNvPicPr>
                </pic:nvPicPr>
                <pic:blipFill>
                  <a:blip r:embed="rId1"/>
                  <a:stretch>
                    <a:fillRect/>
                  </a:stretch>
                </pic:blipFill>
                <pic:spPr bwMode="auto">
                  <a:xfrm>
                    <a:off x="0" y="0"/>
                    <a:ext cx="866140" cy="705485"/>
                  </a:xfrm>
                  <a:prstGeom prst="rect">
                    <a:avLst/>
                  </a:prstGeom>
                </pic:spPr>
              </pic:pic>
            </a:graphicData>
          </a:graphic>
        </wp:anchor>
      </w:drawing>
      <w:pict>
        <v:shape id="shape_0" coordsize="8872,640" path="m8871,0l8871,639l0,639l0,0e" stroked="t" style="position:absolute;margin-left:-51957.8pt;margin-top:-5581.35pt;width:251.45pt;height:18.05pt">
          <v:stroke color="white" weight="6480" joinstyle="round" endcap="flat"/>
          <v:fill o:detectmouseclick="t" on="false"/>
          <w10:wrap type="none"/>
        </v:shape>
      </w:pict>
      <w:pict>
        <v:shape id="shape_0" coordsize="25912,16868" path="m25911,16867l0,16867l0,0l25911,0l25911,16867e" fillcolor="white" stroked="t" style="position:absolute;margin-left:-52699.8pt;margin-top:-6051.25pt;width:734.45pt;height:478.1pt;mso-wrap-style:none;v-text-anchor:middle">
          <v:fill o:detectmouseclick="t" type="solid" color2="black"/>
          <v:stroke color="white" weight="6480" joinstyle="round" endcap="flat"/>
          <w10:wrap type="none"/>
        </v:shape>
      </w:pict>
    </w:r>
  </w:p>
  <w:p>
    <w:pPr>
      <w:pStyle w:val="Cabealho"/>
      <w:rPr/>
    </w:pPr>
    <w:r>
      <w:rPr/>
    </w:r>
  </w:p>
  <w:p>
    <w:pPr>
      <w:pStyle w:val="Cabealho"/>
      <w:rPr/>
    </w:pPr>
    <w:r>
      <w:rPr/>
    </w:r>
  </w:p>
  <w:p>
    <w:pPr>
      <w:pStyle w:val="Normal"/>
      <w:widowControl w:val="false"/>
      <w:suppressLineNumbers/>
      <w:spacing w:lineRule="auto" w:line="276"/>
      <w:rPr>
        <w:sz w:val="10"/>
        <w:szCs w:val="10"/>
      </w:rPr>
    </w:pPr>
    <w:r>
      <w:rPr>
        <w:sz w:val="10"/>
        <w:szCs w:val="10"/>
      </w:rPr>
    </w:r>
  </w:p>
  <w:p>
    <w:pPr>
      <w:pStyle w:val="Normal"/>
      <w:widowControl w:val="false"/>
      <w:suppressLineNumbers/>
      <w:spacing w:lineRule="auto" w:line="276"/>
      <w:jc w:val="right"/>
      <w:rPr>
        <w:rFonts w:ascii="Arial" w:hAnsi="Arial" w:cs="Arial"/>
        <w:sz w:val="18"/>
        <w:szCs w:val="16"/>
      </w:rPr>
    </w:pPr>
    <w:r>
      <w:rPr>
        <w:rFonts w:cs="Arial" w:ascii="Arial" w:hAnsi="Arial"/>
        <w:sz w:val="18"/>
        <w:szCs w:val="16"/>
      </w:rPr>
      <w:t>SOLICITAÇÃO DE CONTRATAÇÃO N.º 266/2024 - DECOL</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629" w:hanging="360"/>
      </w:pPr>
      <w:rPr>
        <w:sz w:val="21"/>
        <w:b/>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lowerLetter"/>
      <w:lvlText w:val="%1)"/>
      <w:lvlJc w:val="left"/>
      <w:pPr>
        <w:tabs>
          <w:tab w:val="num" w:pos="0"/>
        </w:tabs>
        <w:ind w:left="961" w:hanging="360"/>
      </w:pPr>
    </w:lvl>
    <w:lvl w:ilvl="1">
      <w:start w:val="1"/>
      <w:numFmt w:val="lowerLetter"/>
      <w:lvlText w:val="%1.%2."/>
      <w:lvlJc w:val="left"/>
      <w:pPr>
        <w:tabs>
          <w:tab w:val="num" w:pos="0"/>
        </w:tabs>
        <w:ind w:left="1681" w:hanging="360"/>
      </w:pPr>
    </w:lvl>
    <w:lvl w:ilvl="2">
      <w:start w:val="1"/>
      <w:numFmt w:val="lowerRoman"/>
      <w:lvlText w:val="%2.%3."/>
      <w:lvlJc w:val="right"/>
      <w:pPr>
        <w:tabs>
          <w:tab w:val="num" w:pos="0"/>
        </w:tabs>
        <w:ind w:left="2401" w:hanging="180"/>
      </w:pPr>
    </w:lvl>
    <w:lvl w:ilvl="3">
      <w:start w:val="1"/>
      <w:numFmt w:val="decimal"/>
      <w:lvlText w:val="%3.%4."/>
      <w:lvlJc w:val="left"/>
      <w:pPr>
        <w:tabs>
          <w:tab w:val="num" w:pos="0"/>
        </w:tabs>
        <w:ind w:left="3121" w:hanging="360"/>
      </w:pPr>
    </w:lvl>
    <w:lvl w:ilvl="4">
      <w:start w:val="1"/>
      <w:numFmt w:val="lowerLetter"/>
      <w:lvlText w:val="%4.%5."/>
      <w:lvlJc w:val="left"/>
      <w:pPr>
        <w:tabs>
          <w:tab w:val="num" w:pos="0"/>
        </w:tabs>
        <w:ind w:left="3841" w:hanging="360"/>
      </w:pPr>
    </w:lvl>
    <w:lvl w:ilvl="5">
      <w:start w:val="1"/>
      <w:numFmt w:val="lowerRoman"/>
      <w:lvlText w:val="%5.%6."/>
      <w:lvlJc w:val="right"/>
      <w:pPr>
        <w:tabs>
          <w:tab w:val="num" w:pos="0"/>
        </w:tabs>
        <w:ind w:left="4561" w:hanging="180"/>
      </w:pPr>
    </w:lvl>
    <w:lvl w:ilvl="6">
      <w:start w:val="1"/>
      <w:numFmt w:val="decimal"/>
      <w:lvlText w:val="%6.%7."/>
      <w:lvlJc w:val="left"/>
      <w:pPr>
        <w:tabs>
          <w:tab w:val="num" w:pos="0"/>
        </w:tabs>
        <w:ind w:left="5281" w:hanging="360"/>
      </w:pPr>
    </w:lvl>
    <w:lvl w:ilvl="7">
      <w:start w:val="1"/>
      <w:numFmt w:val="lowerLetter"/>
      <w:lvlText w:val="%7.%8."/>
      <w:lvlJc w:val="left"/>
      <w:pPr>
        <w:tabs>
          <w:tab w:val="num" w:pos="0"/>
        </w:tabs>
        <w:ind w:left="6001" w:hanging="360"/>
      </w:pPr>
    </w:lvl>
    <w:lvl w:ilvl="8">
      <w:start w:val="1"/>
      <w:numFmt w:val="lowerRoman"/>
      <w:lvlText w:val="%8.%9."/>
      <w:lvlJc w:val="right"/>
      <w:pPr>
        <w:tabs>
          <w:tab w:val="num" w:pos="0"/>
        </w:tabs>
        <w:ind w:left="6721" w:hanging="180"/>
      </w:pPr>
    </w:lvl>
  </w:abstractNum>
  <w:abstractNum w:abstractNumId="3">
    <w:lvl w:ilvl="0">
      <w:start w:val="1"/>
      <w:numFmt w:val="lowerLetter"/>
      <w:lvlText w:val="%1) "/>
      <w:lvlJc w:val="left"/>
      <w:pPr>
        <w:tabs>
          <w:tab w:val="num" w:pos="0"/>
        </w:tabs>
        <w:ind w:left="1778" w:hanging="360"/>
      </w:pPr>
    </w:lvl>
    <w:lvl w:ilvl="1">
      <w:start w:val="1"/>
      <w:numFmt w:val="lowerLetter"/>
      <w:lvlText w:val="%1.%2."/>
      <w:lvlJc w:val="left"/>
      <w:pPr>
        <w:tabs>
          <w:tab w:val="num" w:pos="0"/>
        </w:tabs>
        <w:ind w:left="2498" w:hanging="360"/>
      </w:pPr>
    </w:lvl>
    <w:lvl w:ilvl="2">
      <w:start w:val="1"/>
      <w:numFmt w:val="lowerRoman"/>
      <w:lvlText w:val="%2.%3."/>
      <w:lvlJc w:val="right"/>
      <w:pPr>
        <w:tabs>
          <w:tab w:val="num" w:pos="0"/>
        </w:tabs>
        <w:ind w:left="3218" w:hanging="180"/>
      </w:pPr>
    </w:lvl>
    <w:lvl w:ilvl="3">
      <w:start w:val="1"/>
      <w:numFmt w:val="decimal"/>
      <w:lvlText w:val="%3.%4."/>
      <w:lvlJc w:val="left"/>
      <w:pPr>
        <w:tabs>
          <w:tab w:val="num" w:pos="0"/>
        </w:tabs>
        <w:ind w:left="3938" w:hanging="360"/>
      </w:pPr>
    </w:lvl>
    <w:lvl w:ilvl="4">
      <w:start w:val="1"/>
      <w:numFmt w:val="lowerLetter"/>
      <w:lvlText w:val="%4.%5."/>
      <w:lvlJc w:val="left"/>
      <w:pPr>
        <w:tabs>
          <w:tab w:val="num" w:pos="0"/>
        </w:tabs>
        <w:ind w:left="4658" w:hanging="360"/>
      </w:pPr>
    </w:lvl>
    <w:lvl w:ilvl="5">
      <w:start w:val="1"/>
      <w:numFmt w:val="lowerRoman"/>
      <w:lvlText w:val="%5.%6."/>
      <w:lvlJc w:val="right"/>
      <w:pPr>
        <w:tabs>
          <w:tab w:val="num" w:pos="0"/>
        </w:tabs>
        <w:ind w:left="5378" w:hanging="180"/>
      </w:pPr>
    </w:lvl>
    <w:lvl w:ilvl="6">
      <w:start w:val="1"/>
      <w:numFmt w:val="decimal"/>
      <w:lvlText w:val="%6.%7."/>
      <w:lvlJc w:val="left"/>
      <w:pPr>
        <w:tabs>
          <w:tab w:val="num" w:pos="0"/>
        </w:tabs>
        <w:ind w:left="6098" w:hanging="360"/>
      </w:pPr>
    </w:lvl>
    <w:lvl w:ilvl="7">
      <w:start w:val="1"/>
      <w:numFmt w:val="lowerLetter"/>
      <w:lvlText w:val="%7.%8."/>
      <w:lvlJc w:val="left"/>
      <w:pPr>
        <w:tabs>
          <w:tab w:val="num" w:pos="0"/>
        </w:tabs>
        <w:ind w:left="6818" w:hanging="360"/>
      </w:pPr>
    </w:lvl>
    <w:lvl w:ilvl="8">
      <w:start w:val="1"/>
      <w:numFmt w:val="lowerRoman"/>
      <w:lvlText w:val="%8.%9."/>
      <w:lvlJc w:val="right"/>
      <w:pPr>
        <w:tabs>
          <w:tab w:val="num" w:pos="0"/>
        </w:tabs>
        <w:ind w:left="7538" w:hanging="180"/>
      </w:pPr>
    </w:lvl>
  </w:abstractNum>
  <w:abstractNum w:abstractNumId="4">
    <w:lvl w:ilvl="0">
      <w:start w:val="1"/>
      <w:numFmt w:val="lowerLetter"/>
      <w:lvlText w:val="%1) "/>
      <w:lvlJc w:val="left"/>
      <w:pPr>
        <w:tabs>
          <w:tab w:val="num" w:pos="0"/>
        </w:tabs>
        <w:ind w:left="1287" w:hanging="360"/>
      </w:pPr>
    </w:lvl>
    <w:lvl w:ilvl="1">
      <w:start w:val="1"/>
      <w:numFmt w:val="lowerLetter"/>
      <w:lvlText w:val="%1.%2."/>
      <w:lvlJc w:val="left"/>
      <w:pPr>
        <w:tabs>
          <w:tab w:val="num" w:pos="0"/>
        </w:tabs>
        <w:ind w:left="2007" w:hanging="360"/>
      </w:pPr>
    </w:lvl>
    <w:lvl w:ilvl="2">
      <w:start w:val="1"/>
      <w:numFmt w:val="lowerRoman"/>
      <w:lvlText w:val="%2.%3."/>
      <w:lvlJc w:val="right"/>
      <w:pPr>
        <w:tabs>
          <w:tab w:val="num" w:pos="0"/>
        </w:tabs>
        <w:ind w:left="2727" w:hanging="180"/>
      </w:pPr>
    </w:lvl>
    <w:lvl w:ilvl="3">
      <w:start w:val="1"/>
      <w:numFmt w:val="decimal"/>
      <w:lvlText w:val="%3.%4."/>
      <w:lvlJc w:val="left"/>
      <w:pPr>
        <w:tabs>
          <w:tab w:val="num" w:pos="0"/>
        </w:tabs>
        <w:ind w:left="3447" w:hanging="360"/>
      </w:pPr>
    </w:lvl>
    <w:lvl w:ilvl="4">
      <w:start w:val="1"/>
      <w:numFmt w:val="lowerLetter"/>
      <w:lvlText w:val="%4.%5."/>
      <w:lvlJc w:val="left"/>
      <w:pPr>
        <w:tabs>
          <w:tab w:val="num" w:pos="0"/>
        </w:tabs>
        <w:ind w:left="4167" w:hanging="360"/>
      </w:pPr>
    </w:lvl>
    <w:lvl w:ilvl="5">
      <w:start w:val="1"/>
      <w:numFmt w:val="lowerRoman"/>
      <w:lvlText w:val="%5.%6."/>
      <w:lvlJc w:val="right"/>
      <w:pPr>
        <w:tabs>
          <w:tab w:val="num" w:pos="0"/>
        </w:tabs>
        <w:ind w:left="4887" w:hanging="180"/>
      </w:pPr>
    </w:lvl>
    <w:lvl w:ilvl="6">
      <w:start w:val="1"/>
      <w:numFmt w:val="decimal"/>
      <w:lvlText w:val="%6.%7."/>
      <w:lvlJc w:val="left"/>
      <w:pPr>
        <w:tabs>
          <w:tab w:val="num" w:pos="0"/>
        </w:tabs>
        <w:ind w:left="5607" w:hanging="360"/>
      </w:pPr>
    </w:lvl>
    <w:lvl w:ilvl="7">
      <w:start w:val="1"/>
      <w:numFmt w:val="lowerLetter"/>
      <w:lvlText w:val="%7.%8."/>
      <w:lvlJc w:val="left"/>
      <w:pPr>
        <w:tabs>
          <w:tab w:val="num" w:pos="0"/>
        </w:tabs>
        <w:ind w:left="6327" w:hanging="360"/>
      </w:pPr>
    </w:lvl>
    <w:lvl w:ilvl="8">
      <w:start w:val="1"/>
      <w:numFmt w:val="lowerRoman"/>
      <w:lvlText w:val="%8.%9."/>
      <w:lvlJc w:val="right"/>
      <w:pPr>
        <w:tabs>
          <w:tab w:val="num" w:pos="0"/>
        </w:tabs>
        <w:ind w:left="7047" w:hanging="180"/>
      </w:pPr>
    </w:lvl>
  </w:abstractNum>
  <w:abstractNum w:abstractNumId="5">
    <w:lvl w:ilvl="0">
      <w:start w:val="1"/>
      <w:numFmt w:val="lowerLetter"/>
      <w:lvlText w:val="%1) "/>
      <w:lvlJc w:val="left"/>
      <w:pPr>
        <w:tabs>
          <w:tab w:val="num" w:pos="0"/>
        </w:tabs>
        <w:ind w:left="1287" w:hanging="360"/>
      </w:pPr>
    </w:lvl>
    <w:lvl w:ilvl="1">
      <w:start w:val="1"/>
      <w:numFmt w:val="lowerLetter"/>
      <w:lvlText w:val="%1.%2."/>
      <w:lvlJc w:val="left"/>
      <w:pPr>
        <w:tabs>
          <w:tab w:val="num" w:pos="0"/>
        </w:tabs>
        <w:ind w:left="2007" w:hanging="360"/>
      </w:pPr>
    </w:lvl>
    <w:lvl w:ilvl="2">
      <w:start w:val="1"/>
      <w:numFmt w:val="lowerRoman"/>
      <w:lvlText w:val="%2.%3."/>
      <w:lvlJc w:val="right"/>
      <w:pPr>
        <w:tabs>
          <w:tab w:val="num" w:pos="0"/>
        </w:tabs>
        <w:ind w:left="2727" w:hanging="180"/>
      </w:pPr>
    </w:lvl>
    <w:lvl w:ilvl="3">
      <w:start w:val="1"/>
      <w:numFmt w:val="decimal"/>
      <w:lvlText w:val="%3.%4."/>
      <w:lvlJc w:val="left"/>
      <w:pPr>
        <w:tabs>
          <w:tab w:val="num" w:pos="0"/>
        </w:tabs>
        <w:ind w:left="3447" w:hanging="360"/>
      </w:pPr>
    </w:lvl>
    <w:lvl w:ilvl="4">
      <w:start w:val="1"/>
      <w:numFmt w:val="lowerLetter"/>
      <w:lvlText w:val="%4.%5."/>
      <w:lvlJc w:val="left"/>
      <w:pPr>
        <w:tabs>
          <w:tab w:val="num" w:pos="0"/>
        </w:tabs>
        <w:ind w:left="4167" w:hanging="360"/>
      </w:pPr>
    </w:lvl>
    <w:lvl w:ilvl="5">
      <w:start w:val="1"/>
      <w:numFmt w:val="lowerRoman"/>
      <w:lvlText w:val="%5.%6."/>
      <w:lvlJc w:val="right"/>
      <w:pPr>
        <w:tabs>
          <w:tab w:val="num" w:pos="0"/>
        </w:tabs>
        <w:ind w:left="4887" w:hanging="180"/>
      </w:pPr>
    </w:lvl>
    <w:lvl w:ilvl="6">
      <w:start w:val="1"/>
      <w:numFmt w:val="decimal"/>
      <w:lvlText w:val="%6.%7."/>
      <w:lvlJc w:val="left"/>
      <w:pPr>
        <w:tabs>
          <w:tab w:val="num" w:pos="0"/>
        </w:tabs>
        <w:ind w:left="5607" w:hanging="360"/>
      </w:pPr>
    </w:lvl>
    <w:lvl w:ilvl="7">
      <w:start w:val="1"/>
      <w:numFmt w:val="lowerLetter"/>
      <w:lvlText w:val="%7.%8."/>
      <w:lvlJc w:val="left"/>
      <w:pPr>
        <w:tabs>
          <w:tab w:val="num" w:pos="0"/>
        </w:tabs>
        <w:ind w:left="6327" w:hanging="360"/>
      </w:pPr>
    </w:lvl>
    <w:lvl w:ilvl="8">
      <w:start w:val="1"/>
      <w:numFmt w:val="lowerRoman"/>
      <w:lvlText w:val="%8.%9."/>
      <w:lvlJc w:val="right"/>
      <w:pPr>
        <w:tabs>
          <w:tab w:val="num" w:pos="0"/>
        </w:tabs>
        <w:ind w:left="7047" w:hanging="180"/>
      </w:pPr>
    </w:lvl>
  </w:abstractNum>
  <w:abstractNum w:abstractNumId="6">
    <w:lvl w:ilvl="0">
      <w:start w:val="1"/>
      <w:numFmt w:val="lowerLetter"/>
      <w:lvlText w:val="%1)"/>
      <w:lvlJc w:val="left"/>
      <w:pPr>
        <w:tabs>
          <w:tab w:val="num" w:pos="0"/>
        </w:tabs>
        <w:ind w:left="5039" w:hanging="360"/>
      </w:pPr>
    </w:lvl>
    <w:lvl w:ilvl="1">
      <w:start w:val="1"/>
      <w:numFmt w:val="lowerLetter"/>
      <w:lvlText w:val="%1.%2."/>
      <w:lvlJc w:val="left"/>
      <w:pPr>
        <w:tabs>
          <w:tab w:val="num" w:pos="0"/>
        </w:tabs>
        <w:ind w:left="5759" w:hanging="360"/>
      </w:pPr>
    </w:lvl>
    <w:lvl w:ilvl="2">
      <w:start w:val="1"/>
      <w:numFmt w:val="lowerRoman"/>
      <w:lvlText w:val="%2.%3."/>
      <w:lvlJc w:val="right"/>
      <w:pPr>
        <w:tabs>
          <w:tab w:val="num" w:pos="0"/>
        </w:tabs>
        <w:ind w:left="6479" w:hanging="180"/>
      </w:pPr>
    </w:lvl>
    <w:lvl w:ilvl="3">
      <w:start w:val="1"/>
      <w:numFmt w:val="decimal"/>
      <w:lvlText w:val="%3.%4."/>
      <w:lvlJc w:val="left"/>
      <w:pPr>
        <w:tabs>
          <w:tab w:val="num" w:pos="0"/>
        </w:tabs>
        <w:ind w:left="7199" w:hanging="360"/>
      </w:pPr>
    </w:lvl>
    <w:lvl w:ilvl="4">
      <w:start w:val="1"/>
      <w:numFmt w:val="lowerLetter"/>
      <w:lvlText w:val="%4.%5."/>
      <w:lvlJc w:val="left"/>
      <w:pPr>
        <w:tabs>
          <w:tab w:val="num" w:pos="0"/>
        </w:tabs>
        <w:ind w:left="7919" w:hanging="360"/>
      </w:pPr>
    </w:lvl>
    <w:lvl w:ilvl="5">
      <w:start w:val="1"/>
      <w:numFmt w:val="lowerRoman"/>
      <w:lvlText w:val="%5.%6."/>
      <w:lvlJc w:val="right"/>
      <w:pPr>
        <w:tabs>
          <w:tab w:val="num" w:pos="0"/>
        </w:tabs>
        <w:ind w:left="8639" w:hanging="180"/>
      </w:pPr>
    </w:lvl>
    <w:lvl w:ilvl="6">
      <w:start w:val="1"/>
      <w:numFmt w:val="decimal"/>
      <w:lvlText w:val="%6.%7."/>
      <w:lvlJc w:val="left"/>
      <w:pPr>
        <w:tabs>
          <w:tab w:val="num" w:pos="0"/>
        </w:tabs>
        <w:ind w:left="9359" w:hanging="360"/>
      </w:pPr>
    </w:lvl>
    <w:lvl w:ilvl="7">
      <w:start w:val="1"/>
      <w:numFmt w:val="lowerLetter"/>
      <w:lvlText w:val="%7.%8."/>
      <w:lvlJc w:val="left"/>
      <w:pPr>
        <w:tabs>
          <w:tab w:val="num" w:pos="0"/>
        </w:tabs>
        <w:ind w:left="10079" w:hanging="360"/>
      </w:pPr>
    </w:lvl>
    <w:lvl w:ilvl="8">
      <w:start w:val="1"/>
      <w:numFmt w:val="lowerRoman"/>
      <w:lvlText w:val="%8.%9."/>
      <w:lvlJc w:val="right"/>
      <w:pPr>
        <w:tabs>
          <w:tab w:val="num" w:pos="0"/>
        </w:tabs>
        <w:ind w:left="10799" w:hanging="180"/>
      </w:pPr>
    </w:lvl>
  </w:abstractNum>
  <w:abstractNum w:abstractNumId="7">
    <w:lvl w:ilvl="0">
      <w:start w:val="1"/>
      <w:numFmt w:val="lowerLetter"/>
      <w:lvlText w:val="%1)"/>
      <w:lvlJc w:val="left"/>
      <w:pPr>
        <w:tabs>
          <w:tab w:val="num" w:pos="0"/>
        </w:tabs>
        <w:ind w:left="2988" w:hanging="360"/>
      </w:pPr>
    </w:lvl>
    <w:lvl w:ilvl="1">
      <w:start w:val="1"/>
      <w:numFmt w:val="lowerLetter"/>
      <w:lvlText w:val="%1.%2."/>
      <w:lvlJc w:val="left"/>
      <w:pPr>
        <w:tabs>
          <w:tab w:val="num" w:pos="0"/>
        </w:tabs>
        <w:ind w:left="3708" w:hanging="360"/>
      </w:pPr>
    </w:lvl>
    <w:lvl w:ilvl="2">
      <w:start w:val="1"/>
      <w:numFmt w:val="lowerRoman"/>
      <w:lvlText w:val="%2.%3."/>
      <w:lvlJc w:val="right"/>
      <w:pPr>
        <w:tabs>
          <w:tab w:val="num" w:pos="0"/>
        </w:tabs>
        <w:ind w:left="4428" w:hanging="180"/>
      </w:pPr>
    </w:lvl>
    <w:lvl w:ilvl="3">
      <w:start w:val="1"/>
      <w:numFmt w:val="decimal"/>
      <w:lvlText w:val="%3.%4."/>
      <w:lvlJc w:val="left"/>
      <w:pPr>
        <w:tabs>
          <w:tab w:val="num" w:pos="0"/>
        </w:tabs>
        <w:ind w:left="5148" w:hanging="360"/>
      </w:pPr>
    </w:lvl>
    <w:lvl w:ilvl="4">
      <w:start w:val="1"/>
      <w:numFmt w:val="lowerLetter"/>
      <w:lvlText w:val="%4.%5."/>
      <w:lvlJc w:val="left"/>
      <w:pPr>
        <w:tabs>
          <w:tab w:val="num" w:pos="0"/>
        </w:tabs>
        <w:ind w:left="5868" w:hanging="360"/>
      </w:pPr>
    </w:lvl>
    <w:lvl w:ilvl="5">
      <w:start w:val="1"/>
      <w:numFmt w:val="lowerRoman"/>
      <w:lvlText w:val="%5.%6."/>
      <w:lvlJc w:val="right"/>
      <w:pPr>
        <w:tabs>
          <w:tab w:val="num" w:pos="0"/>
        </w:tabs>
        <w:ind w:left="6588" w:hanging="180"/>
      </w:pPr>
    </w:lvl>
    <w:lvl w:ilvl="6">
      <w:start w:val="1"/>
      <w:numFmt w:val="decimal"/>
      <w:lvlText w:val="%6.%7."/>
      <w:lvlJc w:val="left"/>
      <w:pPr>
        <w:tabs>
          <w:tab w:val="num" w:pos="0"/>
        </w:tabs>
        <w:ind w:left="7308" w:hanging="360"/>
      </w:pPr>
    </w:lvl>
    <w:lvl w:ilvl="7">
      <w:start w:val="1"/>
      <w:numFmt w:val="lowerLetter"/>
      <w:lvlText w:val="%7.%8."/>
      <w:lvlJc w:val="left"/>
      <w:pPr>
        <w:tabs>
          <w:tab w:val="num" w:pos="0"/>
        </w:tabs>
        <w:ind w:left="8028" w:hanging="360"/>
      </w:pPr>
    </w:lvl>
    <w:lvl w:ilvl="8">
      <w:start w:val="1"/>
      <w:numFmt w:val="lowerRoman"/>
      <w:lvlText w:val="%8.%9."/>
      <w:lvlJc w:val="right"/>
      <w:pPr>
        <w:tabs>
          <w:tab w:val="num" w:pos="0"/>
        </w:tabs>
        <w:ind w:left="8748" w:hanging="180"/>
      </w:pPr>
    </w:lvl>
  </w:abstractNum>
  <w:abstractNum w:abstractNumId="8">
    <w:lvl w:ilvl="0">
      <w:start w:val="1"/>
      <w:numFmt w:val="lowerLetter"/>
      <w:lvlText w:val="%1)"/>
      <w:lvlJc w:val="left"/>
      <w:pPr>
        <w:tabs>
          <w:tab w:val="num" w:pos="0"/>
        </w:tabs>
        <w:ind w:left="2988" w:hanging="360"/>
      </w:pPr>
    </w:lvl>
    <w:lvl w:ilvl="1">
      <w:start w:val="1"/>
      <w:numFmt w:val="lowerLetter"/>
      <w:lvlText w:val="%1.%2."/>
      <w:lvlJc w:val="left"/>
      <w:pPr>
        <w:tabs>
          <w:tab w:val="num" w:pos="0"/>
        </w:tabs>
        <w:ind w:left="3708" w:hanging="360"/>
      </w:pPr>
    </w:lvl>
    <w:lvl w:ilvl="2">
      <w:start w:val="1"/>
      <w:numFmt w:val="lowerRoman"/>
      <w:lvlText w:val="%2.%3."/>
      <w:lvlJc w:val="right"/>
      <w:pPr>
        <w:tabs>
          <w:tab w:val="num" w:pos="0"/>
        </w:tabs>
        <w:ind w:left="4428" w:hanging="180"/>
      </w:pPr>
    </w:lvl>
    <w:lvl w:ilvl="3">
      <w:start w:val="1"/>
      <w:numFmt w:val="decimal"/>
      <w:lvlText w:val="%3.%4."/>
      <w:lvlJc w:val="left"/>
      <w:pPr>
        <w:tabs>
          <w:tab w:val="num" w:pos="0"/>
        </w:tabs>
        <w:ind w:left="5148" w:hanging="360"/>
      </w:pPr>
    </w:lvl>
    <w:lvl w:ilvl="4">
      <w:start w:val="1"/>
      <w:numFmt w:val="lowerLetter"/>
      <w:lvlText w:val="%4.%5."/>
      <w:lvlJc w:val="left"/>
      <w:pPr>
        <w:tabs>
          <w:tab w:val="num" w:pos="0"/>
        </w:tabs>
        <w:ind w:left="5868" w:hanging="360"/>
      </w:pPr>
    </w:lvl>
    <w:lvl w:ilvl="5">
      <w:start w:val="1"/>
      <w:numFmt w:val="lowerRoman"/>
      <w:lvlText w:val="%5.%6."/>
      <w:lvlJc w:val="right"/>
      <w:pPr>
        <w:tabs>
          <w:tab w:val="num" w:pos="0"/>
        </w:tabs>
        <w:ind w:left="6588" w:hanging="180"/>
      </w:pPr>
    </w:lvl>
    <w:lvl w:ilvl="6">
      <w:start w:val="1"/>
      <w:numFmt w:val="decimal"/>
      <w:lvlText w:val="%6.%7."/>
      <w:lvlJc w:val="left"/>
      <w:pPr>
        <w:tabs>
          <w:tab w:val="num" w:pos="0"/>
        </w:tabs>
        <w:ind w:left="7308" w:hanging="360"/>
      </w:pPr>
    </w:lvl>
    <w:lvl w:ilvl="7">
      <w:start w:val="1"/>
      <w:numFmt w:val="lowerLetter"/>
      <w:lvlText w:val="%7.%8."/>
      <w:lvlJc w:val="left"/>
      <w:pPr>
        <w:tabs>
          <w:tab w:val="num" w:pos="0"/>
        </w:tabs>
        <w:ind w:left="8028" w:hanging="360"/>
      </w:pPr>
    </w:lvl>
    <w:lvl w:ilvl="8">
      <w:start w:val="1"/>
      <w:numFmt w:val="lowerRoman"/>
      <w:lvlText w:val="%8.%9."/>
      <w:lvlJc w:val="right"/>
      <w:pPr>
        <w:tabs>
          <w:tab w:val="num" w:pos="0"/>
        </w:tabs>
        <w:ind w:left="8748" w:hanging="180"/>
      </w:pPr>
    </w:lvl>
  </w:abstractNum>
  <w:abstractNum w:abstractNumId="9">
    <w:lvl w:ilvl="0">
      <w:start w:val="1"/>
      <w:numFmt w:val="lowerRoman"/>
      <w:lvlText w:val="%1."/>
      <w:lvlJc w:val="right"/>
      <w:pPr>
        <w:tabs>
          <w:tab w:val="num" w:pos="0"/>
        </w:tabs>
        <w:ind w:left="1287" w:hanging="360"/>
      </w:pPr>
    </w:lvl>
    <w:lvl w:ilvl="1">
      <w:start w:val="1"/>
      <w:numFmt w:val="decimal"/>
      <w:lvlText w:val="%1.%2."/>
      <w:lvlJc w:val="left"/>
      <w:pPr>
        <w:tabs>
          <w:tab w:val="num" w:pos="0"/>
        </w:tabs>
        <w:ind w:left="2007" w:hanging="360"/>
      </w:pPr>
    </w:lvl>
    <w:lvl w:ilvl="2">
      <w:start w:val="1"/>
      <w:numFmt w:val="lowerRoman"/>
      <w:lvlText w:val="%2.%3."/>
      <w:lvlJc w:val="right"/>
      <w:pPr>
        <w:tabs>
          <w:tab w:val="num" w:pos="0"/>
        </w:tabs>
        <w:ind w:left="2727" w:hanging="180"/>
      </w:pPr>
    </w:lvl>
    <w:lvl w:ilvl="3">
      <w:start w:val="1"/>
      <w:numFmt w:val="decimal"/>
      <w:lvlText w:val="%3.%4."/>
      <w:lvlJc w:val="left"/>
      <w:pPr>
        <w:tabs>
          <w:tab w:val="num" w:pos="0"/>
        </w:tabs>
        <w:ind w:left="3447" w:hanging="360"/>
      </w:pPr>
    </w:lvl>
    <w:lvl w:ilvl="4">
      <w:start w:val="1"/>
      <w:numFmt w:val="lowerLetter"/>
      <w:lvlText w:val="%4.%5."/>
      <w:lvlJc w:val="left"/>
      <w:pPr>
        <w:tabs>
          <w:tab w:val="num" w:pos="0"/>
        </w:tabs>
        <w:ind w:left="4167" w:hanging="360"/>
      </w:pPr>
    </w:lvl>
    <w:lvl w:ilvl="5">
      <w:start w:val="1"/>
      <w:numFmt w:val="lowerRoman"/>
      <w:lvlText w:val="%5.%6."/>
      <w:lvlJc w:val="right"/>
      <w:pPr>
        <w:tabs>
          <w:tab w:val="num" w:pos="0"/>
        </w:tabs>
        <w:ind w:left="4887" w:hanging="180"/>
      </w:pPr>
    </w:lvl>
    <w:lvl w:ilvl="6">
      <w:start w:val="1"/>
      <w:numFmt w:val="decimal"/>
      <w:lvlText w:val="%6.%7."/>
      <w:lvlJc w:val="left"/>
      <w:pPr>
        <w:tabs>
          <w:tab w:val="num" w:pos="0"/>
        </w:tabs>
        <w:ind w:left="5607" w:hanging="360"/>
      </w:pPr>
    </w:lvl>
    <w:lvl w:ilvl="7">
      <w:start w:val="1"/>
      <w:numFmt w:val="lowerLetter"/>
      <w:lvlText w:val="%7.%8."/>
      <w:lvlJc w:val="left"/>
      <w:pPr>
        <w:tabs>
          <w:tab w:val="num" w:pos="0"/>
        </w:tabs>
        <w:ind w:left="6327" w:hanging="360"/>
      </w:pPr>
    </w:lvl>
    <w:lvl w:ilvl="8">
      <w:start w:val="1"/>
      <w:numFmt w:val="lowerRoman"/>
      <w:lvlText w:val="%8.%9."/>
      <w:lvlJc w:val="right"/>
      <w:pPr>
        <w:tabs>
          <w:tab w:val="num" w:pos="0"/>
        </w:tabs>
        <w:ind w:left="7047" w:hanging="180"/>
      </w:pPr>
    </w:lvl>
  </w:abstractNum>
  <w:abstractNum w:abstractNumId="10">
    <w:lvl w:ilvl="0">
      <w:start w:val="1"/>
      <w:numFmt w:val="decimal"/>
      <w:lvlText w:val="%1."/>
      <w:lvlJc w:val="left"/>
      <w:pPr>
        <w:tabs>
          <w:tab w:val="num" w:pos="0"/>
        </w:tabs>
        <w:ind w:left="2629" w:hanging="360"/>
      </w:pPr>
      <w:rPr>
        <w:sz w:val="21"/>
        <w:b/>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2629" w:hanging="360"/>
      </w:pPr>
      <w:rPr>
        <w:sz w:val="21"/>
        <w:b/>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2629" w:hanging="360"/>
      </w:pPr>
      <w:rPr>
        <w:sz w:val="21"/>
        <w:b/>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3">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5">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6">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1">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lowerLetter"/>
      <w:lvlText w:val="%1)"/>
      <w:lvlJc w:val="left"/>
      <w:pPr>
        <w:tabs>
          <w:tab w:val="num" w:pos="0"/>
        </w:tabs>
        <w:ind w:left="2988" w:hanging="360"/>
      </w:pPr>
    </w:lvl>
    <w:lvl w:ilvl="1">
      <w:start w:val="1"/>
      <w:numFmt w:val="lowerLetter"/>
      <w:lvlText w:val="%1.%2."/>
      <w:lvlJc w:val="left"/>
      <w:pPr>
        <w:tabs>
          <w:tab w:val="num" w:pos="0"/>
        </w:tabs>
        <w:ind w:left="3708" w:hanging="360"/>
      </w:pPr>
    </w:lvl>
    <w:lvl w:ilvl="2">
      <w:start w:val="1"/>
      <w:numFmt w:val="lowerRoman"/>
      <w:lvlText w:val="%2.%3."/>
      <w:lvlJc w:val="right"/>
      <w:pPr>
        <w:tabs>
          <w:tab w:val="num" w:pos="0"/>
        </w:tabs>
        <w:ind w:left="4428" w:hanging="180"/>
      </w:pPr>
    </w:lvl>
    <w:lvl w:ilvl="3">
      <w:start w:val="1"/>
      <w:numFmt w:val="decimal"/>
      <w:lvlText w:val="%3.%4."/>
      <w:lvlJc w:val="left"/>
      <w:pPr>
        <w:tabs>
          <w:tab w:val="num" w:pos="0"/>
        </w:tabs>
        <w:ind w:left="5148" w:hanging="360"/>
      </w:pPr>
    </w:lvl>
    <w:lvl w:ilvl="4">
      <w:start w:val="1"/>
      <w:numFmt w:val="lowerLetter"/>
      <w:lvlText w:val="%4.%5."/>
      <w:lvlJc w:val="left"/>
      <w:pPr>
        <w:tabs>
          <w:tab w:val="num" w:pos="0"/>
        </w:tabs>
        <w:ind w:left="5868" w:hanging="360"/>
      </w:pPr>
    </w:lvl>
    <w:lvl w:ilvl="5">
      <w:start w:val="1"/>
      <w:numFmt w:val="lowerRoman"/>
      <w:lvlText w:val="%5.%6."/>
      <w:lvlJc w:val="right"/>
      <w:pPr>
        <w:tabs>
          <w:tab w:val="num" w:pos="0"/>
        </w:tabs>
        <w:ind w:left="6588" w:hanging="180"/>
      </w:pPr>
    </w:lvl>
    <w:lvl w:ilvl="6">
      <w:start w:val="1"/>
      <w:numFmt w:val="decimal"/>
      <w:lvlText w:val="%6.%7."/>
      <w:lvlJc w:val="left"/>
      <w:pPr>
        <w:tabs>
          <w:tab w:val="num" w:pos="0"/>
        </w:tabs>
        <w:ind w:left="7308" w:hanging="360"/>
      </w:pPr>
    </w:lvl>
    <w:lvl w:ilvl="7">
      <w:start w:val="1"/>
      <w:numFmt w:val="lowerLetter"/>
      <w:lvlText w:val="%7.%8."/>
      <w:lvlJc w:val="left"/>
      <w:pPr>
        <w:tabs>
          <w:tab w:val="num" w:pos="0"/>
        </w:tabs>
        <w:ind w:left="8028" w:hanging="360"/>
      </w:pPr>
    </w:lvl>
    <w:lvl w:ilvl="8">
      <w:start w:val="1"/>
      <w:numFmt w:val="lowerRoman"/>
      <w:lvlText w:val="%8.%9."/>
      <w:lvlJc w:val="right"/>
      <w:pPr>
        <w:tabs>
          <w:tab w:val="num" w:pos="0"/>
        </w:tabs>
        <w:ind w:left="8748" w:hanging="180"/>
      </w:p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1"/>
        <w:i w:val="false"/>
        <w:u w:val="none"/>
        <w:b w:val="false"/>
        <w:szCs w:val="21"/>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
  </w:num>
  <w:num w:numId="188">
    <w:abstractNumId w:val="1"/>
    <w:lvlOverride w:ilvl="2">
      <w:startOverride w:val="1"/>
    </w:lvlOverride>
  </w:num>
  <w:num w:numId="189">
    <w:abstractNumId w:val="1"/>
    <w:lvlOverride w:ilvl="0">
      <w:startOverride w:val="1"/>
    </w:lvlOverride>
  </w:num>
  <w:num w:numId="190">
    <w:abstractNumId w:val="13"/>
    <w:lvlOverride w:ilvl="0">
      <w:startOverride w:val="1"/>
    </w:lvlOverride>
  </w:num>
  <w:num w:numId="191">
    <w:abstractNumId w:val="13"/>
  </w:num>
  <w:num w:numId="192">
    <w:abstractNumId w:val="13"/>
  </w:num>
  <w:num w:numId="193">
    <w:abstractNumId w:val="13"/>
  </w:num>
  <w:num w:numId="194">
    <w:abstractNumId w:val="13"/>
  </w:num>
  <w:num w:numId="195">
    <w:abstractNumId w:val="13"/>
  </w:num>
  <w:num w:numId="196">
    <w:abstractNumId w:val="13"/>
  </w:num>
  <w:num w:numId="197">
    <w:abstractNumId w:val="13"/>
  </w:num>
  <w:num w:numId="198">
    <w:abstractNumId w:val="13"/>
  </w:num>
  <w:num w:numId="199">
    <w:abstractNumId w:val="13"/>
  </w:num>
  <w:num w:numId="200">
    <w:abstractNumId w:val="13"/>
  </w:num>
  <w:num w:numId="201">
    <w:abstractNumId w:val="13"/>
  </w:num>
  <w:num w:numId="202">
    <w:abstractNumId w:val="13"/>
  </w:num>
  <w:num w:numId="203">
    <w:abstractNumId w:val="13"/>
  </w:num>
  <w:num w:numId="204">
    <w:abstractNumId w:val="13"/>
  </w:num>
  <w:num w:numId="205">
    <w:abstractNumId w:val="13"/>
  </w:num>
  <w:num w:numId="206">
    <w:abstractNumId w:val="13"/>
  </w:num>
  <w:num w:numId="207">
    <w:abstractNumId w:val="13"/>
  </w:num>
  <w:num w:numId="208">
    <w:abstractNumId w:val="13"/>
  </w:num>
  <w:num w:numId="209">
    <w:abstractNumId w:val="13"/>
  </w:num>
  <w:num w:numId="210">
    <w:abstractNumId w:val="13"/>
  </w:num>
  <w:num w:numId="211">
    <w:abstractNumId w:val="13"/>
  </w:num>
  <w:num w:numId="212">
    <w:abstractNumId w:val="13"/>
  </w:num>
  <w:num w:numId="213">
    <w:abstractNumId w:val="13"/>
  </w:num>
  <w:num w:numId="214">
    <w:abstractNumId w:val="13"/>
  </w:num>
  <w:num w:numId="215">
    <w:abstractNumId w:val="13"/>
  </w:num>
  <w:num w:numId="216">
    <w:abstractNumId w:val="13"/>
  </w:num>
  <w:num w:numId="217">
    <w:abstractNumId w:val="13"/>
  </w:num>
  <w:num w:numId="218">
    <w:abstractNumId w:val="41"/>
    <w:lvlOverride w:ilvl="0">
      <w:startOverride w:val="1"/>
    </w:lvlOverride>
  </w:num>
  <w:num w:numId="219">
    <w:abstractNumId w:val="41"/>
  </w:num>
  <w:num w:numId="220">
    <w:abstractNumId w:val="41"/>
  </w:num>
  <w:num w:numId="221">
    <w:abstractNumId w:val="41"/>
  </w:num>
  <w:num w:numId="222">
    <w:abstractNumId w:val="41"/>
  </w:num>
  <w:num w:numId="223">
    <w:abstractNumId w:val="41"/>
  </w:num>
  <w:num w:numId="224">
    <w:abstractNumId w:val="13"/>
  </w:num>
  <w:num w:numId="225">
    <w:abstractNumId w:val="13"/>
  </w:num>
  <w:num w:numId="226">
    <w:abstractNumId w:val="13"/>
  </w:num>
  <w:num w:numId="227">
    <w:abstractNumId w:val="50"/>
    <w:lvlOverride w:ilvl="0">
      <w:startOverride w:val="1"/>
    </w:lvlOverride>
  </w:num>
  <w:num w:numId="228">
    <w:abstractNumId w:val="50"/>
  </w:num>
  <w:num w:numId="229">
    <w:abstractNumId w:val="13"/>
  </w:num>
  <w:num w:numId="230">
    <w:abstractNumId w:val="13"/>
  </w:num>
  <w:num w:numId="231">
    <w:abstractNumId w:val="13"/>
  </w:num>
  <w:num w:numId="232">
    <w:abstractNumId w:val="13"/>
  </w:num>
  <w:num w:numId="233">
    <w:abstractNumId w:val="13"/>
  </w:num>
  <w:num w:numId="234">
    <w:abstractNumId w:val="13"/>
  </w:num>
  <w:num w:numId="235">
    <w:abstractNumId w:val="13"/>
  </w:num>
  <w:num w:numId="236">
    <w:abstractNumId w:val="13"/>
  </w:num>
  <w:num w:numId="237">
    <w:abstractNumId w:val="13"/>
  </w:num>
  <w:num w:numId="238">
    <w:abstractNumId w:val="13"/>
  </w:num>
  <w:num w:numId="239">
    <w:abstractNumId w:val="13"/>
  </w:num>
  <w:num w:numId="240">
    <w:abstractNumId w:val="13"/>
  </w:num>
  <w:num w:numId="241">
    <w:abstractNumId w:val="13"/>
  </w:num>
  <w:num w:numId="242">
    <w:abstractNumId w:val="13"/>
  </w:num>
  <w:num w:numId="243">
    <w:abstractNumId w:val="13"/>
  </w:num>
  <w:num w:numId="244">
    <w:abstractNumId w:val="13"/>
  </w:num>
  <w:num w:numId="245">
    <w:abstractNumId w:val="13"/>
  </w:num>
  <w:num w:numId="246">
    <w:abstractNumId w:val="13"/>
  </w:num>
  <w:num w:numId="247">
    <w:abstractNumId w:val="13"/>
  </w:num>
  <w:num w:numId="248">
    <w:abstractNumId w:val="13"/>
  </w:num>
  <w:num w:numId="249">
    <w:abstractNumId w:val="13"/>
  </w:num>
  <w:num w:numId="250">
    <w:abstractNumId w:val="13"/>
  </w:num>
  <w:num w:numId="251">
    <w:abstractNumId w:val="13"/>
  </w:num>
  <w:num w:numId="252">
    <w:abstractNumId w:val="13"/>
  </w:num>
  <w:num w:numId="253">
    <w:abstractNumId w:val="13"/>
  </w:num>
  <w:num w:numId="254">
    <w:abstractNumId w:val="13"/>
  </w:num>
  <w:num w:numId="255">
    <w:abstractNumId w:val="13"/>
  </w:num>
  <w:num w:numId="256">
    <w:abstractNumId w:val="13"/>
  </w:num>
  <w:num w:numId="257">
    <w:abstractNumId w:val="13"/>
  </w:num>
  <w:num w:numId="258">
    <w:abstractNumId w:val="13"/>
  </w:num>
  <w:num w:numId="259">
    <w:abstractNumId w:val="13"/>
  </w:num>
  <w:num w:numId="260">
    <w:abstractNumId w:val="13"/>
  </w:num>
  <w:num w:numId="261">
    <w:abstractNumId w:val="13"/>
  </w:num>
  <w:num w:numId="262">
    <w:abstractNumId w:val="13"/>
  </w:num>
  <w:num w:numId="263">
    <w:abstractNumId w:val="13"/>
  </w:num>
  <w:num w:numId="264">
    <w:abstractNumId w:val="13"/>
  </w:num>
  <w:num w:numId="265">
    <w:abstractNumId w:val="13"/>
  </w:num>
  <w:num w:numId="266">
    <w:abstractNumId w:val="13"/>
  </w:num>
  <w:num w:numId="267">
    <w:abstractNumId w:val="13"/>
  </w:num>
  <w:num w:numId="268">
    <w:abstractNumId w:val="13"/>
  </w:num>
  <w:num w:numId="269">
    <w:abstractNumId w:val="13"/>
  </w:num>
  <w:num w:numId="270">
    <w:abstractNumId w:val="13"/>
  </w:num>
  <w:num w:numId="271">
    <w:abstractNumId w:val="13"/>
  </w:num>
  <w:num w:numId="272">
    <w:abstractNumId w:val="13"/>
  </w:num>
  <w:num w:numId="273">
    <w:abstractNumId w:val="13"/>
  </w:num>
  <w:num w:numId="274">
    <w:abstractNumId w:val="13"/>
  </w:num>
  <w:num w:numId="275">
    <w:abstractNumId w:val="13"/>
  </w:num>
  <w:num w:numId="276">
    <w:abstractNumId w:val="13"/>
  </w:num>
  <w:num w:numId="277">
    <w:abstractNumId w:val="13"/>
  </w:num>
  <w:num w:numId="278">
    <w:abstractNumId w:val="13"/>
  </w:num>
  <w:num w:numId="279">
    <w:abstractNumId w:val="13"/>
  </w:num>
  <w:num w:numId="280">
    <w:abstractNumId w:val="7"/>
    <w:lvlOverride w:ilvl="0">
      <w:startOverride w:val="1"/>
    </w:lvlOverride>
  </w:num>
  <w:num w:numId="281">
    <w:abstractNumId w:val="13"/>
  </w:num>
  <w:num w:numId="282">
    <w:abstractNumId w:val="13"/>
  </w:num>
  <w:num w:numId="283">
    <w:abstractNumId w:val="13"/>
  </w:num>
  <w:num w:numId="284">
    <w:abstractNumId w:val="13"/>
  </w:num>
  <w:num w:numId="285">
    <w:abstractNumId w:val="13"/>
  </w:num>
  <w:num w:numId="286">
    <w:abstractNumId w:val="13"/>
  </w:num>
  <w:num w:numId="287">
    <w:abstractNumId w:val="13"/>
  </w:num>
  <w:num w:numId="288">
    <w:abstractNumId w:val="13"/>
  </w:num>
  <w:num w:numId="289">
    <w:abstractNumId w:val="13"/>
  </w:num>
  <w:num w:numId="290">
    <w:abstractNumId w:val="13"/>
  </w:num>
  <w:num w:numId="291">
    <w:abstractNumId w:val="13"/>
  </w:num>
  <w:num w:numId="292">
    <w:abstractNumId w:val="13"/>
  </w:num>
  <w:num w:numId="293">
    <w:abstractNumId w:val="13"/>
  </w:num>
  <w:num w:numId="294">
    <w:abstractNumId w:val="13"/>
  </w:num>
  <w:num w:numId="295">
    <w:abstractNumId w:val="13"/>
  </w:num>
  <w:num w:numId="296">
    <w:abstractNumId w:val="13"/>
  </w:num>
  <w:num w:numId="297">
    <w:abstractNumId w:val="13"/>
  </w:num>
  <w:num w:numId="298">
    <w:abstractNumId w:val="13"/>
  </w:num>
  <w:num w:numId="299">
    <w:abstractNumId w:val="13"/>
  </w:num>
  <w:num w:numId="300">
    <w:abstractNumId w:val="13"/>
  </w:num>
  <w:num w:numId="301">
    <w:abstractNumId w:val="13"/>
  </w:num>
  <w:num w:numId="302">
    <w:abstractNumId w:val="13"/>
  </w:num>
  <w:num w:numId="303">
    <w:abstractNumId w:val="13"/>
  </w:num>
  <w:num w:numId="304">
    <w:abstractNumId w:val="13"/>
  </w:num>
  <w:num w:numId="305">
    <w:abstractNumId w:val="13"/>
  </w:num>
  <w:num w:numId="306">
    <w:abstractNumId w:val="13"/>
  </w:num>
  <w:num w:numId="307">
    <w:abstractNumId w:val="13"/>
  </w:num>
  <w:num w:numId="308">
    <w:abstractNumId w:val="13"/>
  </w:num>
  <w:num w:numId="309">
    <w:abstractNumId w:val="13"/>
  </w:num>
  <w:num w:numId="310">
    <w:abstractNumId w:val="13"/>
  </w:num>
  <w:num w:numId="311">
    <w:abstractNumId w:val="13"/>
  </w:num>
  <w:num w:numId="312">
    <w:abstractNumId w:val="13"/>
  </w:num>
  <w:num w:numId="313">
    <w:abstractNumId w:val="13"/>
  </w:num>
  <w:num w:numId="314">
    <w:abstractNumId w:val="13"/>
  </w:num>
  <w:num w:numId="315">
    <w:abstractNumId w:val="13"/>
  </w:num>
  <w:num w:numId="316">
    <w:abstractNumId w:val="13"/>
  </w:num>
  <w:num w:numId="317">
    <w:abstractNumId w:val="13"/>
  </w:num>
  <w:num w:numId="318">
    <w:abstractNumId w:val="13"/>
  </w:num>
  <w:num w:numId="319">
    <w:abstractNumId w:val="13"/>
  </w:num>
  <w:num w:numId="320">
    <w:abstractNumId w:val="13"/>
  </w:num>
  <w:num w:numId="321">
    <w:abstractNumId w:val="13"/>
  </w:num>
  <w:num w:numId="322">
    <w:abstractNumId w:val="13"/>
  </w:num>
  <w:num w:numId="323">
    <w:abstractNumId w:val="13"/>
  </w:num>
  <w:num w:numId="324">
    <w:abstractNumId w:val="13"/>
  </w:num>
  <w:num w:numId="325">
    <w:abstractNumId w:val="13"/>
  </w:num>
  <w:num w:numId="326">
    <w:abstractNumId w:val="13"/>
  </w:num>
  <w:num w:numId="327">
    <w:abstractNumId w:val="13"/>
  </w:num>
  <w:num w:numId="328">
    <w:abstractNumId w:val="13"/>
  </w:num>
  <w:num w:numId="329">
    <w:abstractNumId w:val="13"/>
  </w:num>
  <w:num w:numId="330">
    <w:abstractNumId w:val="13"/>
  </w:num>
  <w:num w:numId="331">
    <w:abstractNumId w:val="13"/>
  </w:num>
  <w:num w:numId="332">
    <w:abstractNumId w:val="13"/>
  </w:num>
  <w:num w:numId="333">
    <w:abstractNumId w:val="13"/>
  </w:num>
  <w:num w:numId="334">
    <w:abstractNumId w:val="13"/>
  </w:num>
  <w:num w:numId="335">
    <w:abstractNumId w:val="13"/>
  </w:num>
  <w:num w:numId="336">
    <w:abstractNumId w:val="13"/>
  </w:num>
  <w:num w:numId="337">
    <w:abstractNumId w:val="13"/>
  </w:num>
  <w:num w:numId="338">
    <w:abstractNumId w:val="13"/>
  </w:num>
  <w:num w:numId="339">
    <w:abstractNumId w:val="13"/>
  </w:num>
  <w:num w:numId="340">
    <w:abstractNumId w:val="13"/>
  </w:num>
  <w:num w:numId="341">
    <w:abstractNumId w:val="13"/>
  </w:num>
  <w:num w:numId="342">
    <w:abstractNumId w:val="13"/>
  </w:num>
  <w:num w:numId="343">
    <w:abstractNumId w:val="13"/>
  </w:num>
  <w:num w:numId="344">
    <w:abstractNumId w:val="13"/>
  </w:num>
  <w:num w:numId="345">
    <w:abstractNumId w:val="13"/>
  </w:num>
  <w:num w:numId="346">
    <w:abstractNumId w:val="13"/>
  </w:num>
  <w:num w:numId="347">
    <w:abstractNumId w:val="13"/>
  </w:num>
  <w:num w:numId="348">
    <w:abstractNumId w:val="13"/>
  </w:num>
  <w:num w:numId="349">
    <w:abstractNumId w:val="13"/>
  </w:num>
  <w:num w:numId="350">
    <w:abstractNumId w:val="13"/>
  </w:num>
  <w:num w:numId="351">
    <w:abstractNumId w:val="13"/>
  </w:num>
  <w:num w:numId="352">
    <w:abstractNumId w:val="13"/>
  </w:num>
  <w:num w:numId="353">
    <w:abstractNumId w:val="13"/>
  </w:num>
  <w:num w:numId="354">
    <w:abstractNumId w:val="13"/>
  </w:num>
  <w:num w:numId="355">
    <w:abstractNumId w:val="13"/>
  </w:num>
  <w:num w:numId="356">
    <w:abstractNumId w:val="13"/>
  </w:num>
  <w:num w:numId="357">
    <w:abstractNumId w:val="13"/>
  </w:num>
  <w:num w:numId="358">
    <w:abstractNumId w:val="13"/>
  </w:num>
  <w:num w:numId="359">
    <w:abstractNumId w:val="13"/>
  </w:num>
  <w:num w:numId="360">
    <w:abstractNumId w:val="13"/>
  </w:num>
  <w:num w:numId="361">
    <w:abstractNumId w:val="13"/>
  </w:num>
  <w:num w:numId="362">
    <w:abstractNumId w:val="13"/>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254a1"/>
    <w:pPr>
      <w:widowControl/>
      <w:suppressAutoHyphens w:val="true"/>
      <w:overflowPunct w:val="fals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Ttulo1" w:customStyle="1">
    <w:name w:val="Heading 1"/>
    <w:basedOn w:val="Normal"/>
    <w:next w:val="Normal"/>
    <w:qFormat/>
    <w:rsid w:val="002254a1"/>
    <w:pPr>
      <w:keepNext w:val="true"/>
      <w:keepLines/>
      <w:spacing w:before="480" w:after="0"/>
      <w:outlineLvl w:val="0"/>
    </w:pPr>
    <w:rPr>
      <w:rFonts w:ascii="Calibri" w:hAnsi="Calibri" w:cs="Times New Roman"/>
      <w:b/>
      <w:bCs/>
      <w:color w:val="365F91"/>
      <w:sz w:val="28"/>
      <w:szCs w:val="28"/>
    </w:rPr>
  </w:style>
  <w:style w:type="paragraph" w:styleId="Ttulo2" w:customStyle="1">
    <w:name w:val="Heading 2"/>
    <w:basedOn w:val="Normal"/>
    <w:next w:val="Normal"/>
    <w:qFormat/>
    <w:rsid w:val="002254a1"/>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customStyle="1">
    <w:name w:val="Heading 3"/>
    <w:basedOn w:val="Normal"/>
    <w:next w:val="Normal"/>
    <w:qFormat/>
    <w:rsid w:val="002254a1"/>
    <w:pPr>
      <w:keepNext w:val="true"/>
      <w:keepLines/>
      <w:spacing w:lineRule="auto" w:line="259" w:before="40" w:after="0"/>
      <w:outlineLvl w:val="2"/>
    </w:pPr>
    <w:rPr>
      <w:rFonts w:ascii="Calibri" w:hAnsi="Calibri" w:cs="Times New Roman"/>
      <w:color w:val="243F60"/>
      <w:lang w:eastAsia="en-US"/>
    </w:rPr>
  </w:style>
  <w:style w:type="paragraph" w:styleId="Ttulo4" w:customStyle="1">
    <w:name w:val="Heading 4"/>
    <w:basedOn w:val="Normal"/>
    <w:next w:val="Normal"/>
    <w:qFormat/>
    <w:rsid w:val="002254a1"/>
    <w:pPr>
      <w:keepNext w:val="true"/>
      <w:keepLines/>
      <w:spacing w:before="40" w:after="0"/>
      <w:outlineLvl w:val="3"/>
    </w:pPr>
    <w:rPr>
      <w:rFonts w:ascii="Calibri" w:hAnsi="Calibri" w:cs="Times New Roman"/>
      <w:i/>
      <w:iCs/>
      <w:color w:val="365F91"/>
    </w:rPr>
  </w:style>
  <w:style w:type="paragraph" w:styleId="Ttulo6" w:customStyle="1">
    <w:name w:val="Heading 6"/>
    <w:basedOn w:val="Normal"/>
    <w:next w:val="Normal"/>
    <w:qFormat/>
    <w:rsid w:val="002254a1"/>
    <w:pPr>
      <w:keepNext w:val="true"/>
      <w:keepLines/>
      <w:spacing w:lineRule="auto" w:line="259" w:before="40" w:after="0"/>
      <w:outlineLvl w:val="5"/>
    </w:pPr>
    <w:rPr>
      <w:rFonts w:ascii="Calibri" w:hAnsi="Calibri" w:cs="Times New Roman"/>
      <w:color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2254a1"/>
    <w:rPr>
      <w:rFonts w:ascii="Tahoma" w:hAnsi="Tahoma" w:cs="Tahoma"/>
      <w:sz w:val="16"/>
      <w:szCs w:val="16"/>
    </w:rPr>
  </w:style>
  <w:style w:type="character" w:styleId="Ttulo2Char" w:customStyle="1">
    <w:name w:val="Título 2 Char"/>
    <w:qFormat/>
    <w:rsid w:val="002254a1"/>
    <w:rPr>
      <w:b/>
      <w:color w:val="000000"/>
      <w:sz w:val="24"/>
    </w:rPr>
  </w:style>
  <w:style w:type="character" w:styleId="Normalchar1" w:customStyle="1">
    <w:name w:val="normal__char1"/>
    <w:qFormat/>
    <w:rsid w:val="002254a1"/>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254a1"/>
    <w:rPr/>
  </w:style>
  <w:style w:type="character" w:styleId="LinkdaInternet" w:customStyle="1">
    <w:name w:val="Link da Internet"/>
    <w:basedOn w:val="DefaultParagraphFont"/>
    <w:rsid w:val="002254a1"/>
    <w:rPr>
      <w:color w:val="0000FF"/>
      <w:u w:val="single"/>
    </w:rPr>
  </w:style>
  <w:style w:type="character" w:styleId="CitaoChar" w:customStyle="1">
    <w:name w:val="Citação Char"/>
    <w:qFormat/>
    <w:rsid w:val="002254a1"/>
    <w:rPr>
      <w:rFonts w:ascii="Arial" w:hAnsi="Arial" w:eastAsia="Calibri" w:cs="Tahoma"/>
      <w:i/>
      <w:iCs/>
      <w:color w:val="000000"/>
      <w:szCs w:val="24"/>
      <w:shd w:fill="FFFFCC" w:val="clear"/>
    </w:rPr>
  </w:style>
  <w:style w:type="character" w:styleId="NotaexplicativaChar" w:customStyle="1">
    <w:name w:val="Nota explicativa Char"/>
    <w:basedOn w:val="CitaoChar"/>
    <w:qFormat/>
    <w:rsid w:val="002254a1"/>
    <w:rPr>
      <w:rFonts w:ascii="Arial" w:hAnsi="Arial" w:eastAsia="Calibri" w:cs="Tahoma"/>
      <w:i/>
      <w:iCs/>
      <w:color w:val="000000"/>
      <w:szCs w:val="24"/>
      <w:shd w:fill="FFFFCC" w:val="clear"/>
    </w:rPr>
  </w:style>
  <w:style w:type="character" w:styleId="CabealhoChar" w:customStyle="1">
    <w:name w:val="Cabeçalho Char"/>
    <w:qFormat/>
    <w:rsid w:val="002254a1"/>
    <w:rPr>
      <w:rFonts w:ascii="Ecofont_Spranq_eco_Sans" w:hAnsi="Ecofont_Spranq_eco_Sans" w:cs="Tahoma"/>
      <w:sz w:val="24"/>
      <w:szCs w:val="24"/>
    </w:rPr>
  </w:style>
  <w:style w:type="character" w:styleId="RodapChar" w:customStyle="1">
    <w:name w:val="Rodapé Char"/>
    <w:qFormat/>
    <w:rsid w:val="002254a1"/>
    <w:rPr>
      <w:rFonts w:ascii="Ecofont_Spranq_eco_Sans" w:hAnsi="Ecofont_Spranq_eco_Sans" w:cs="Tahoma"/>
      <w:sz w:val="24"/>
      <w:szCs w:val="24"/>
    </w:rPr>
  </w:style>
  <w:style w:type="character" w:styleId="Annotationreference">
    <w:name w:val="annotation reference"/>
    <w:basedOn w:val="DefaultParagraphFont"/>
    <w:qFormat/>
    <w:rsid w:val="002254a1"/>
    <w:rPr>
      <w:sz w:val="16"/>
      <w:szCs w:val="16"/>
    </w:rPr>
  </w:style>
  <w:style w:type="character" w:styleId="TextodecomentrioChar" w:customStyle="1">
    <w:name w:val="Texto de comentário Char"/>
    <w:basedOn w:val="DefaultParagraphFont"/>
    <w:qFormat/>
    <w:rsid w:val="002254a1"/>
    <w:rPr>
      <w:rFonts w:ascii="Ecofont_Spranq_eco_Sans" w:hAnsi="Ecofont_Spranq_eco_Sans" w:cs="Tahoma"/>
      <w:lang w:eastAsia="pt-BR"/>
    </w:rPr>
  </w:style>
  <w:style w:type="character" w:styleId="AssuntodocomentrioChar" w:customStyle="1">
    <w:name w:val="Assunto do comentário Char"/>
    <w:basedOn w:val="TextodecomentrioChar"/>
    <w:qFormat/>
    <w:rsid w:val="002254a1"/>
    <w:rPr>
      <w:rFonts w:ascii="Ecofont_Spranq_eco_Sans" w:hAnsi="Ecofont_Spranq_eco_Sans" w:cs="Tahoma"/>
      <w:b/>
      <w:bCs/>
      <w:lang w:eastAsia="pt-BR"/>
    </w:rPr>
  </w:style>
  <w:style w:type="character" w:styleId="Ttulo4Char" w:customStyle="1">
    <w:name w:val="Título 4 Char"/>
    <w:basedOn w:val="DefaultParagraphFont"/>
    <w:qFormat/>
    <w:rsid w:val="002254a1"/>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sid w:val="002254a1"/>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sid w:val="002254a1"/>
    <w:rPr>
      <w:rFonts w:ascii="Arial" w:hAnsi="Arial" w:cs="Arial"/>
      <w:b/>
      <w:bCs/>
    </w:rPr>
  </w:style>
  <w:style w:type="character" w:styleId="Ttulo1Char" w:customStyle="1">
    <w:name w:val="Título 1 Char"/>
    <w:basedOn w:val="DefaultParagraphFont"/>
    <w:qFormat/>
    <w:rsid w:val="002254a1"/>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sid w:val="002254a1"/>
    <w:rPr>
      <w:rFonts w:cs="Times New Roman"/>
      <w:color w:val="000000"/>
      <w:spacing w:val="5"/>
      <w:kern w:val="2"/>
      <w:sz w:val="52"/>
      <w:szCs w:val="52"/>
    </w:rPr>
  </w:style>
  <w:style w:type="character" w:styleId="QuoteChar" w:customStyle="1">
    <w:name w:val="Quote Char"/>
    <w:basedOn w:val="DefaultParagraphFont"/>
    <w:qFormat/>
    <w:rsid w:val="002254a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2254a1"/>
    <w:rPr/>
  </w:style>
  <w:style w:type="character" w:styleId="Eop" w:customStyle="1">
    <w:name w:val="eop"/>
    <w:basedOn w:val="DefaultParagraphFont"/>
    <w:qFormat/>
    <w:rsid w:val="002254a1"/>
    <w:rPr/>
  </w:style>
  <w:style w:type="character" w:styleId="Spellingerror" w:customStyle="1">
    <w:name w:val="spellingerror"/>
    <w:basedOn w:val="DefaultParagraphFont"/>
    <w:qFormat/>
    <w:rsid w:val="002254a1"/>
    <w:rPr/>
  </w:style>
  <w:style w:type="character" w:styleId="CorpodetextoChar" w:customStyle="1">
    <w:name w:val="Corpo de texto Char"/>
    <w:basedOn w:val="DefaultParagraphFont"/>
    <w:qFormat/>
    <w:rsid w:val="002254a1"/>
    <w:rPr>
      <w:rFonts w:eastAsia="Times New Roman"/>
      <w:sz w:val="24"/>
      <w:szCs w:val="24"/>
      <w:lang w:eastAsia="pt-BR"/>
    </w:rPr>
  </w:style>
  <w:style w:type="character" w:styleId="Nivel1Char" w:customStyle="1">
    <w:name w:val="Nivel1 Char"/>
    <w:basedOn w:val="Ttulo1Char"/>
    <w:qFormat/>
    <w:rsid w:val="002254a1"/>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sid w:val="002254a1"/>
    <w:rPr>
      <w:rFonts w:ascii="Arial" w:hAnsi="Arial" w:cs="Arial"/>
      <w:lang w:eastAsia="pt-BR"/>
    </w:rPr>
  </w:style>
  <w:style w:type="character" w:styleId="Cp0020corpodespachochar1" w:customStyle="1">
    <w:name w:val="cp_0020corpodespacho__char1"/>
    <w:qFormat/>
    <w:rsid w:val="002254a1"/>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2254a1"/>
    <w:rPr>
      <w:rFonts w:ascii="Times New Roman" w:hAnsi="Times New Roman" w:cs="Times New Roman"/>
      <w:strike w:val="false"/>
      <w:dstrike w:val="false"/>
      <w:sz w:val="28"/>
      <w:szCs w:val="28"/>
      <w:u w:val="none"/>
      <w:effect w:val="none"/>
    </w:rPr>
  </w:style>
  <w:style w:type="character" w:styleId="Strong">
    <w:name w:val="Strong"/>
    <w:basedOn w:val="DefaultParagraphFont"/>
    <w:qFormat/>
    <w:rsid w:val="002254a1"/>
    <w:rPr>
      <w:b/>
      <w:bCs/>
    </w:rPr>
  </w:style>
  <w:style w:type="character" w:styleId="Nfase">
    <w:name w:val="Ênfase"/>
    <w:basedOn w:val="DefaultParagraphFont"/>
    <w:qFormat/>
    <w:rsid w:val="002254a1"/>
    <w:rPr>
      <w:i/>
      <w:iCs/>
    </w:rPr>
  </w:style>
  <w:style w:type="character" w:styleId="Manoel" w:customStyle="1">
    <w:name w:val="Manoel"/>
    <w:qFormat/>
    <w:rsid w:val="002254a1"/>
    <w:rPr>
      <w:rFonts w:ascii="Arial" w:hAnsi="Arial" w:cs="Arial"/>
      <w:color w:val="7030A0"/>
      <w:sz w:val="20"/>
    </w:rPr>
  </w:style>
  <w:style w:type="character" w:styleId="GradeColoridanfase1Char" w:customStyle="1">
    <w:name w:val="Grade Colorida - Ênfase 1 Char"/>
    <w:qFormat/>
    <w:rsid w:val="002254a1"/>
    <w:rPr>
      <w:rFonts w:ascii="Arial" w:hAnsi="Arial" w:eastAsia="Calibri"/>
      <w:i/>
      <w:iCs/>
      <w:color w:val="000000"/>
      <w:szCs w:val="24"/>
      <w:shd w:fill="FFFFCC" w:val="clear"/>
    </w:rPr>
  </w:style>
  <w:style w:type="character" w:styleId="Highlight" w:customStyle="1">
    <w:name w:val="highlight"/>
    <w:basedOn w:val="DefaultParagraphFont"/>
    <w:qFormat/>
    <w:rsid w:val="002254a1"/>
    <w:rPr/>
  </w:style>
  <w:style w:type="character" w:styleId="Linkdainternetvisitado" w:customStyle="1">
    <w:name w:val="Link da internet visitado"/>
    <w:basedOn w:val="DefaultParagraphFont"/>
    <w:rsid w:val="002254a1"/>
    <w:rPr>
      <w:color w:val="800080"/>
      <w:u w:val="single"/>
    </w:rPr>
  </w:style>
  <w:style w:type="character" w:styleId="MenoPendente1" w:customStyle="1">
    <w:name w:val="Menção Pendente1"/>
    <w:basedOn w:val="DefaultParagraphFont"/>
    <w:qFormat/>
    <w:rsid w:val="002254a1"/>
    <w:rPr>
      <w:color w:val="605E5C"/>
      <w:shd w:fill="E1DFDD" w:val="clear"/>
    </w:rPr>
  </w:style>
  <w:style w:type="character" w:styleId="MenoPendente2" w:customStyle="1">
    <w:name w:val="Menção Pendente2"/>
    <w:basedOn w:val="DefaultParagraphFont"/>
    <w:qFormat/>
    <w:rsid w:val="002254a1"/>
    <w:rPr>
      <w:color w:val="605E5C"/>
      <w:shd w:fill="E1DFDD" w:val="clear"/>
    </w:rPr>
  </w:style>
  <w:style w:type="character" w:styleId="Nivel2Char" w:customStyle="1">
    <w:name w:val="Nivel 2 Char"/>
    <w:basedOn w:val="DefaultParagraphFont"/>
    <w:qFormat/>
    <w:rsid w:val="002254a1"/>
    <w:rPr>
      <w:rFonts w:ascii="Arial" w:hAnsi="Arial" w:cs="Arial"/>
      <w:color w:val="000000"/>
      <w:lang w:eastAsia="pt-BR"/>
    </w:rPr>
  </w:style>
  <w:style w:type="character" w:styleId="Nvel2OpcionalChar" w:customStyle="1">
    <w:name w:val="Nível 2 Opcional Char"/>
    <w:basedOn w:val="DefaultParagraphFont"/>
    <w:qFormat/>
    <w:rsid w:val="002254a1"/>
    <w:rPr>
      <w:rFonts w:ascii="Arial" w:hAnsi="Arial" w:eastAsia="Times New Roman" w:cs="Arial"/>
      <w:i/>
      <w:color w:val="FF0000"/>
      <w:lang w:eastAsia="pt-BR"/>
    </w:rPr>
  </w:style>
  <w:style w:type="character" w:styleId="Nvel3OpcionalChar" w:customStyle="1">
    <w:name w:val="Nível 3 Opcional Char"/>
    <w:basedOn w:val="DefaultParagraphFont"/>
    <w:qFormat/>
    <w:rsid w:val="002254a1"/>
    <w:rPr>
      <w:rFonts w:ascii="Arial" w:hAnsi="Arial" w:eastAsia="Times New Roman" w:cs="Arial"/>
      <w:i/>
      <w:iCs/>
      <w:color w:val="FF0000"/>
      <w:lang w:eastAsia="pt-BR"/>
    </w:rPr>
  </w:style>
  <w:style w:type="character" w:styleId="PlaceholderText">
    <w:name w:val="Placeholder Text"/>
    <w:basedOn w:val="DefaultParagraphFont"/>
    <w:qFormat/>
    <w:rsid w:val="002254a1"/>
    <w:rPr>
      <w:color w:val="808080"/>
    </w:rPr>
  </w:style>
  <w:style w:type="character" w:styleId="PargrafodaListaChar" w:customStyle="1">
    <w:name w:val="Parágrafo da Lista Char"/>
    <w:basedOn w:val="DefaultParagraphFont"/>
    <w:qFormat/>
    <w:rsid w:val="002254a1"/>
    <w:rPr>
      <w:rFonts w:ascii="Ecofont_Spranq_eco_Sans" w:hAnsi="Ecofont_Spranq_eco_Sans" w:cs="Tahoma"/>
      <w:sz w:val="24"/>
      <w:szCs w:val="24"/>
      <w:lang w:eastAsia="pt-BR"/>
    </w:rPr>
  </w:style>
  <w:style w:type="character" w:styleId="Ttulo3Char" w:customStyle="1">
    <w:name w:val="Título 3 Char"/>
    <w:basedOn w:val="DefaultParagraphFont"/>
    <w:qFormat/>
    <w:rsid w:val="002254a1"/>
    <w:rPr>
      <w:rFonts w:ascii="Calibri" w:hAnsi="Calibri" w:eastAsia="Segoe UI" w:cs="Times New Roman"/>
      <w:color w:val="243F60"/>
      <w:sz w:val="24"/>
      <w:szCs w:val="24"/>
    </w:rPr>
  </w:style>
  <w:style w:type="character" w:styleId="Ttulo6Char" w:customStyle="1">
    <w:name w:val="Título 6 Char"/>
    <w:basedOn w:val="DefaultParagraphFont"/>
    <w:qFormat/>
    <w:rsid w:val="002254a1"/>
    <w:rPr>
      <w:rFonts w:ascii="Calibri" w:hAnsi="Calibri" w:eastAsia="Segoe UI" w:cs="Times New Roman"/>
      <w:color w:val="243F60"/>
      <w:sz w:val="22"/>
      <w:szCs w:val="22"/>
    </w:rPr>
  </w:style>
  <w:style w:type="character" w:styleId="Markedcontent" w:customStyle="1">
    <w:name w:val="markedcontent"/>
    <w:basedOn w:val="DefaultParagraphFont"/>
    <w:qFormat/>
    <w:rsid w:val="002254a1"/>
    <w:rPr/>
  </w:style>
  <w:style w:type="character" w:styleId="MenoPendente3" w:customStyle="1">
    <w:name w:val="Menção Pendente3"/>
    <w:basedOn w:val="DefaultParagraphFont"/>
    <w:qFormat/>
    <w:rsid w:val="002254a1"/>
    <w:rPr>
      <w:color w:val="605E5C"/>
      <w:shd w:fill="E1DFDD" w:val="clear"/>
    </w:rPr>
  </w:style>
  <w:style w:type="character" w:styleId="MenoPendente4" w:customStyle="1">
    <w:name w:val="Menção Pendente4"/>
    <w:basedOn w:val="DefaultParagraphFont"/>
    <w:qFormat/>
    <w:rsid w:val="002254a1"/>
    <w:rPr>
      <w:color w:val="605E5C"/>
      <w:shd w:fill="E1DFDD" w:val="clear"/>
    </w:rPr>
  </w:style>
  <w:style w:type="character" w:styleId="OuChar" w:customStyle="1">
    <w:name w:val="ou Char"/>
    <w:basedOn w:val="PargrafodaListaChar"/>
    <w:qFormat/>
    <w:rsid w:val="002254a1"/>
    <w:rPr>
      <w:rFonts w:ascii="Arial" w:hAnsi="Arial" w:eastAsia="Cambria" w:cs="Arial"/>
      <w:b/>
      <w:bCs/>
      <w:i/>
      <w:iCs/>
      <w:color w:val="FF0000"/>
      <w:sz w:val="24"/>
      <w:szCs w:val="24"/>
      <w:u w:val="single"/>
      <w:lang w:eastAsia="pt-BR"/>
    </w:rPr>
  </w:style>
  <w:style w:type="character" w:styleId="Nvel2RedChar" w:customStyle="1">
    <w:name w:val="Nível 2 -Red Char"/>
    <w:basedOn w:val="Nivel2Char"/>
    <w:qFormat/>
    <w:rsid w:val="002254a1"/>
    <w:rPr>
      <w:i/>
      <w:iCs/>
      <w:color w:val="FF0000"/>
    </w:rPr>
  </w:style>
  <w:style w:type="character" w:styleId="Nivel3Char" w:customStyle="1">
    <w:name w:val="Nivel 3 Char"/>
    <w:basedOn w:val="DefaultParagraphFont"/>
    <w:qFormat/>
    <w:rsid w:val="002254a1"/>
    <w:rPr>
      <w:rFonts w:ascii="Arial" w:hAnsi="Arial" w:cs="Arial"/>
      <w:color w:val="000000"/>
      <w:lang w:eastAsia="pt-BR"/>
    </w:rPr>
  </w:style>
  <w:style w:type="character" w:styleId="Nvel3RChar" w:customStyle="1">
    <w:name w:val="Nível 3-R Char"/>
    <w:basedOn w:val="Nivel3Char"/>
    <w:qFormat/>
    <w:rsid w:val="002254a1"/>
    <w:rPr>
      <w:i/>
      <w:iCs/>
      <w:color w:val="FF0000"/>
    </w:rPr>
  </w:style>
  <w:style w:type="character" w:styleId="Nvel4RChar" w:customStyle="1">
    <w:name w:val="Nível 4-R Char"/>
    <w:basedOn w:val="Nivel4Char"/>
    <w:qFormat/>
    <w:rsid w:val="002254a1"/>
    <w:rPr>
      <w:i/>
      <w:iCs/>
      <w:color w:val="FF0000"/>
    </w:rPr>
  </w:style>
  <w:style w:type="character" w:styleId="Nvel1SemNumChar" w:customStyle="1">
    <w:name w:val="Nível 1-Sem Num Char"/>
    <w:basedOn w:val="Nivel01Char"/>
    <w:qFormat/>
    <w:rsid w:val="002254a1"/>
    <w:rPr>
      <w:rFonts w:ascii="Arial" w:hAnsi="Arial" w:eastAsia="Segoe UI" w:cs="Arial"/>
      <w:b/>
      <w:bCs/>
      <w:color w:val="FF0000"/>
      <w:spacing w:val="5"/>
      <w:kern w:val="2"/>
      <w:sz w:val="52"/>
      <w:szCs w:val="52"/>
      <w:lang w:eastAsia="pt-BR"/>
    </w:rPr>
  </w:style>
  <w:style w:type="character" w:styleId="PrembuloChar" w:customStyle="1">
    <w:name w:val="Preâmbulo Char"/>
    <w:basedOn w:val="DefaultParagraphFont"/>
    <w:qFormat/>
    <w:rsid w:val="002254a1"/>
    <w:rPr>
      <w:rFonts w:ascii="Arial" w:hAnsi="Arial" w:eastAsia="Arial" w:cs="Arial"/>
      <w:bCs/>
      <w:lang w:eastAsia="pt-BR"/>
    </w:rPr>
  </w:style>
  <w:style w:type="character" w:styleId="MenoPendente5" w:customStyle="1">
    <w:name w:val="Menção Pendente5"/>
    <w:basedOn w:val="DefaultParagraphFont"/>
    <w:qFormat/>
    <w:rsid w:val="002254a1"/>
    <w:rPr>
      <w:color w:val="605E5C"/>
      <w:shd w:fill="E1DFDD" w:val="clear"/>
    </w:rPr>
  </w:style>
  <w:style w:type="character" w:styleId="Citao2Char" w:customStyle="1">
    <w:name w:val="citação 2 Char"/>
    <w:basedOn w:val="CitaoChar"/>
    <w:qFormat/>
    <w:rsid w:val="002254a1"/>
    <w:rPr>
      <w:rFonts w:ascii="Arial" w:hAnsi="Arial" w:eastAsia="Calibri" w:cs="Tahoma"/>
      <w:i/>
      <w:iCs/>
      <w:color w:val="000000"/>
      <w:szCs w:val="24"/>
      <w:shd w:fill="FFFFCC" w:val="clear"/>
    </w:rPr>
  </w:style>
  <w:style w:type="character" w:styleId="MenoPendente6" w:customStyle="1">
    <w:name w:val="Menção Pendente6"/>
    <w:basedOn w:val="DefaultParagraphFont"/>
    <w:qFormat/>
    <w:rsid w:val="002254a1"/>
    <w:rPr>
      <w:color w:val="605E5C"/>
      <w:shd w:fill="E1DFDD" w:val="clear"/>
    </w:rPr>
  </w:style>
  <w:style w:type="character" w:styleId="Mentionnonrsolue1" w:customStyle="1">
    <w:name w:val="Mention non résolue1"/>
    <w:basedOn w:val="DefaultParagraphFont"/>
    <w:qFormat/>
    <w:rsid w:val="002254a1"/>
    <w:rPr>
      <w:color w:val="605E5C"/>
      <w:shd w:fill="E1DFDD" w:val="clear"/>
    </w:rPr>
  </w:style>
  <w:style w:type="character" w:styleId="Smbolosdenumerao" w:customStyle="1">
    <w:name w:val="Símbolos de numeração"/>
    <w:qFormat/>
    <w:rsid w:val="002254a1"/>
    <w:rPr/>
  </w:style>
  <w:style w:type="character" w:styleId="Marcadores" w:customStyle="1">
    <w:name w:val="Marcadores"/>
    <w:qFormat/>
    <w:rsid w:val="002254a1"/>
    <w:rPr>
      <w:rFonts w:ascii="OpenSymbol" w:hAnsi="OpenSymbol" w:eastAsia="OpenSymbol" w:cs="OpenSymbo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rsid w:val="002254a1"/>
    <w:pPr>
      <w:spacing w:before="280" w:after="280"/>
    </w:pPr>
    <w:rPr>
      <w:rFonts w:ascii="Times New Roman" w:hAnsi="Times New Roman" w:eastAsia="Times New Roman" w:cs="Times New Roman"/>
    </w:rPr>
  </w:style>
  <w:style w:type="paragraph" w:styleId="Lista">
    <w:name w:val="List"/>
    <w:basedOn w:val="Corpodotexto"/>
    <w:rsid w:val="002254a1"/>
    <w:pPr/>
    <w:rPr>
      <w:rFonts w:cs="Lucida Sans"/>
    </w:rPr>
  </w:style>
  <w:style w:type="paragraph" w:styleId="Legenda" w:customStyle="1">
    <w:name w:val="Caption"/>
    <w:basedOn w:val="Normal"/>
    <w:qFormat/>
    <w:rsid w:val="002254a1"/>
    <w:pPr>
      <w:suppressLineNumbers/>
      <w:spacing w:before="120" w:after="120"/>
    </w:pPr>
    <w:rPr>
      <w:rFonts w:cs="Lucida Sans"/>
      <w:i/>
      <w:iCs/>
    </w:rPr>
  </w:style>
  <w:style w:type="paragraph" w:styleId="Ndice" w:customStyle="1">
    <w:name w:val="Índice"/>
    <w:basedOn w:val="Normal"/>
    <w:qFormat/>
    <w:rsid w:val="002254a1"/>
    <w:pPr>
      <w:suppressLineNumbers/>
    </w:pPr>
    <w:rPr>
      <w:rFonts w:cs="Lucida Sans"/>
    </w:rPr>
  </w:style>
  <w:style w:type="paragraph" w:styleId="Ttulododocumento">
    <w:name w:val="Title"/>
    <w:basedOn w:val="Normal"/>
    <w:next w:val="Corpodotexto"/>
    <w:qFormat/>
    <w:rsid w:val="002254a1"/>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qFormat/>
    <w:rsid w:val="002254a1"/>
    <w:pPr>
      <w:spacing w:before="0" w:after="0"/>
      <w:ind w:left="720" w:hanging="0"/>
      <w:contextualSpacing/>
    </w:pPr>
    <w:rPr/>
  </w:style>
  <w:style w:type="paragraph" w:styleId="NormalWeb">
    <w:name w:val="Normal (Web)"/>
    <w:basedOn w:val="Normal"/>
    <w:qFormat/>
    <w:rsid w:val="002254a1"/>
    <w:pPr>
      <w:spacing w:before="280" w:after="280"/>
    </w:pPr>
    <w:rPr>
      <w:rFonts w:ascii="Times New Roman" w:hAnsi="Times New Roman" w:cs="Times New Roman"/>
    </w:rPr>
  </w:style>
  <w:style w:type="paragraph" w:styleId="BalloonText">
    <w:name w:val="Balloon Text"/>
    <w:basedOn w:val="Normal"/>
    <w:qFormat/>
    <w:rsid w:val="002254a1"/>
    <w:pPr/>
    <w:rPr>
      <w:rFonts w:ascii="Tahoma" w:hAnsi="Tahoma"/>
      <w:sz w:val="16"/>
      <w:szCs w:val="16"/>
    </w:rPr>
  </w:style>
  <w:style w:type="paragraph" w:styleId="Nvel2" w:customStyle="1">
    <w:name w:val="Nível 2"/>
    <w:basedOn w:val="Normal"/>
    <w:next w:val="Normal"/>
    <w:qFormat/>
    <w:rsid w:val="002254a1"/>
    <w:pPr>
      <w:spacing w:before="0" w:after="120"/>
      <w:jc w:val="both"/>
    </w:pPr>
    <w:rPr>
      <w:rFonts w:ascii="Arial" w:hAnsi="Arial" w:cs="Times New Roman"/>
      <w:b/>
      <w:szCs w:val="20"/>
    </w:rPr>
  </w:style>
  <w:style w:type="paragraph" w:styleId="Quote">
    <w:name w:val="Quote"/>
    <w:basedOn w:val="Normal"/>
    <w:next w:val="Normal"/>
    <w:qFormat/>
    <w:rsid w:val="002254a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2254a1"/>
    <w:pPr>
      <w:tabs>
        <w:tab w:val="clear" w:pos="708"/>
        <w:tab w:val="left" w:pos="1492" w:leader="none"/>
      </w:tabs>
      <w:spacing w:before="0" w:after="0"/>
      <w:ind w:left="1492" w:hanging="360"/>
      <w:contextualSpacing/>
    </w:pPr>
    <w:rPr/>
  </w:style>
  <w:style w:type="paragraph" w:styleId="Notaexplicativa" w:customStyle="1">
    <w:name w:val="Nota explicativa"/>
    <w:basedOn w:val="Quote"/>
    <w:qFormat/>
    <w:rsid w:val="002254a1"/>
    <w:pPr>
      <w:shd w:val="clear" w:fill="FFFFCC"/>
    </w:pPr>
    <w:rPr>
      <w:szCs w:val="20"/>
    </w:rPr>
  </w:style>
  <w:style w:type="paragraph" w:styleId="CabealhoeRodap" w:customStyle="1">
    <w:name w:val="Cabeçalho e Rodapé"/>
    <w:basedOn w:val="Normal"/>
    <w:qFormat/>
    <w:rsid w:val="002254a1"/>
    <w:pPr/>
    <w:rPr/>
  </w:style>
  <w:style w:type="paragraph" w:styleId="Cabealho" w:customStyle="1">
    <w:name w:val="Header"/>
    <w:basedOn w:val="Normal"/>
    <w:rsid w:val="002254a1"/>
    <w:pPr>
      <w:tabs>
        <w:tab w:val="clear" w:pos="708"/>
        <w:tab w:val="center" w:pos="4252" w:leader="none"/>
        <w:tab w:val="right" w:pos="8504" w:leader="none"/>
      </w:tabs>
    </w:pPr>
    <w:rPr/>
  </w:style>
  <w:style w:type="paragraph" w:styleId="Rodap" w:customStyle="1">
    <w:name w:val="Footer"/>
    <w:basedOn w:val="Normal"/>
    <w:rsid w:val="002254a1"/>
    <w:pPr>
      <w:tabs>
        <w:tab w:val="clear" w:pos="708"/>
        <w:tab w:val="center" w:pos="4252" w:leader="none"/>
        <w:tab w:val="right" w:pos="8504" w:leader="none"/>
      </w:tabs>
    </w:pPr>
    <w:rPr/>
  </w:style>
  <w:style w:type="paragraph" w:styleId="Annotationtext">
    <w:name w:val="annotation text"/>
    <w:basedOn w:val="Normal"/>
    <w:qFormat/>
    <w:rsid w:val="002254a1"/>
    <w:pPr/>
    <w:rPr>
      <w:sz w:val="20"/>
      <w:szCs w:val="20"/>
    </w:rPr>
  </w:style>
  <w:style w:type="paragraph" w:styleId="Annotationsubject">
    <w:name w:val="annotation subject"/>
    <w:basedOn w:val="Annotationtext"/>
    <w:next w:val="Annotationtext"/>
    <w:qFormat/>
    <w:rsid w:val="002254a1"/>
    <w:pPr/>
    <w:rPr>
      <w:b/>
      <w:bCs/>
    </w:rPr>
  </w:style>
  <w:style w:type="paragraph" w:styleId="Nivel01" w:customStyle="1">
    <w:name w:val="Nivel 01"/>
    <w:basedOn w:val="Ttulo1"/>
    <w:next w:val="Normal"/>
    <w:autoRedefine/>
    <w:qFormat/>
    <w:rsid w:val="002254a1"/>
    <w:pPr>
      <w:spacing w:lineRule="auto" w:line="240" w:before="0" w:after="0"/>
      <w:ind w:left="3061" w:right="0" w:hanging="340"/>
      <w:jc w:val="both"/>
    </w:pPr>
    <w:rPr>
      <w:rFonts w:ascii="Arial" w:hAnsi="Arial" w:cs="Arial"/>
      <w:color w:val="auto"/>
      <w:sz w:val="20"/>
      <w:szCs w:val="20"/>
    </w:rPr>
  </w:style>
  <w:style w:type="paragraph" w:styleId="Nivel01Titulo" w:customStyle="1">
    <w:name w:val="Nivel_01_Titulo"/>
    <w:basedOn w:val="Nivel01"/>
    <w:qFormat/>
    <w:rsid w:val="002254a1"/>
    <w:pPr>
      <w:jc w:val="left"/>
    </w:pPr>
    <w:rPr>
      <w:rFonts w:cs="Times New Roman"/>
      <w:color w:val="000000"/>
      <w:spacing w:val="5"/>
      <w:kern w:val="2"/>
      <w:sz w:val="52"/>
      <w:szCs w:val="52"/>
    </w:rPr>
  </w:style>
  <w:style w:type="paragraph" w:styleId="PADRO" w:customStyle="1">
    <w:name w:val="PADRÃO"/>
    <w:qFormat/>
    <w:rsid w:val="002254a1"/>
    <w:pPr>
      <w:keepNext w:val="true"/>
      <w:widowControl w:val="false"/>
      <w:shd w:val="clear" w:color="auto"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rsid w:val="002254a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2254a1"/>
    <w:pPr>
      <w:spacing w:before="280" w:after="280"/>
    </w:pPr>
    <w:rPr>
      <w:rFonts w:ascii="Times New Roman" w:hAnsi="Times New Roman" w:eastAsia="Times New Roman" w:cs="Times New Roman"/>
    </w:rPr>
  </w:style>
  <w:style w:type="paragraph" w:styleId="Nivel1" w:customStyle="1">
    <w:name w:val="Nivel1"/>
    <w:basedOn w:val="Ttulo1"/>
    <w:qFormat/>
    <w:rsid w:val="002254a1"/>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2254a1"/>
    <w:pPr>
      <w:ind w:left="720" w:hanging="0"/>
    </w:pPr>
    <w:rPr>
      <w:rFonts w:eastAsia="Times New Roman" w:cs="Ecofont_Spranq_eco_Sans"/>
    </w:rPr>
  </w:style>
  <w:style w:type="paragraph" w:styleId="Nivel2" w:customStyle="1">
    <w:name w:val="Nivel 2"/>
    <w:basedOn w:val="Normal"/>
    <w:qFormat/>
    <w:rsid w:val="002254a1"/>
    <w:pPr>
      <w:tabs>
        <w:tab w:val="clear" w:pos="708"/>
        <w:tab w:val="left" w:pos="0" w:leader="none"/>
      </w:tabs>
      <w:spacing w:lineRule="auto" w:line="276" w:before="120" w:after="120"/>
      <w:ind w:left="2629" w:hanging="360"/>
      <w:jc w:val="both"/>
    </w:pPr>
    <w:rPr>
      <w:rFonts w:ascii="Arial" w:hAnsi="Arial" w:cs="Arial"/>
      <w:color w:val="000000"/>
      <w:sz w:val="20"/>
      <w:szCs w:val="20"/>
    </w:rPr>
  </w:style>
  <w:style w:type="paragraph" w:styleId="Nivel11" w:customStyle="1">
    <w:name w:val="Nivel 1"/>
    <w:basedOn w:val="Nivel2"/>
    <w:next w:val="Nivel2"/>
    <w:qFormat/>
    <w:rsid w:val="002254a1"/>
    <w:pPr>
      <w:tabs>
        <w:tab w:val="clear" w:pos="0"/>
      </w:tabs>
      <w:ind w:left="360" w:hanging="360"/>
    </w:pPr>
    <w:rPr>
      <w:b/>
    </w:rPr>
  </w:style>
  <w:style w:type="paragraph" w:styleId="Nivel3" w:customStyle="1">
    <w:name w:val="Nivel 3"/>
    <w:basedOn w:val="Normal"/>
    <w:qFormat/>
    <w:rsid w:val="002254a1"/>
    <w:pPr>
      <w:tabs>
        <w:tab w:val="clear" w:pos="708"/>
        <w:tab w:val="left" w:pos="0" w:leader="none"/>
      </w:tabs>
      <w:spacing w:lineRule="auto" w:line="276" w:before="120" w:after="120"/>
      <w:ind w:left="2629" w:hanging="360"/>
      <w:jc w:val="both"/>
    </w:pPr>
    <w:rPr>
      <w:rFonts w:ascii="Arial" w:hAnsi="Arial" w:cs="Arial"/>
      <w:color w:val="000000"/>
      <w:sz w:val="20"/>
      <w:szCs w:val="20"/>
    </w:rPr>
  </w:style>
  <w:style w:type="paragraph" w:styleId="Nivel4" w:customStyle="1">
    <w:name w:val="Nivel 4"/>
    <w:basedOn w:val="Nivel3"/>
    <w:qFormat/>
    <w:rsid w:val="002254a1"/>
    <w:pPr/>
    <w:rPr>
      <w:color w:val="auto"/>
    </w:rPr>
  </w:style>
  <w:style w:type="paragraph" w:styleId="Nivel5" w:customStyle="1">
    <w:name w:val="Nivel 5"/>
    <w:basedOn w:val="Nivel4"/>
    <w:qFormat/>
    <w:rsid w:val="002254a1"/>
    <w:pPr/>
    <w:rPr/>
  </w:style>
  <w:style w:type="paragraph" w:styleId="Textbody" w:customStyle="1">
    <w:name w:val="textbody"/>
    <w:basedOn w:val="Normal"/>
    <w:qFormat/>
    <w:rsid w:val="002254a1"/>
    <w:pPr>
      <w:spacing w:before="280" w:after="280"/>
    </w:pPr>
    <w:rPr>
      <w:rFonts w:ascii="Times New Roman" w:hAnsi="Times New Roman" w:eastAsia="Times New Roman" w:cs="Times New Roman"/>
    </w:rPr>
  </w:style>
  <w:style w:type="paragraph" w:styleId="Em0020ementa" w:customStyle="1">
    <w:name w:val="em_0020ementa"/>
    <w:basedOn w:val="Normal"/>
    <w:qFormat/>
    <w:rsid w:val="002254a1"/>
    <w:pPr>
      <w:ind w:left="4160" w:hanging="0"/>
      <w:jc w:val="both"/>
    </w:pPr>
    <w:rPr>
      <w:rFonts w:ascii="Times New Roman" w:hAnsi="Times New Roman" w:eastAsia="Times New Roman" w:cs="Times New Roman"/>
      <w:sz w:val="28"/>
      <w:szCs w:val="28"/>
    </w:rPr>
  </w:style>
  <w:style w:type="paragraph" w:styleId="Revision">
    <w:name w:val="Revision"/>
    <w:qFormat/>
    <w:rsid w:val="002254a1"/>
    <w:pPr>
      <w:widowControl/>
      <w:suppressAutoHyphens w:val="true"/>
      <w:overflowPunct w:val="fals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2254a1"/>
    <w:pPr>
      <w:spacing w:before="280" w:after="280"/>
    </w:pPr>
    <w:rPr>
      <w:rFonts w:ascii="Times New Roman" w:hAnsi="Times New Roman" w:eastAsia="Times New Roman" w:cs="Times New Roman"/>
    </w:rPr>
  </w:style>
  <w:style w:type="paragraph" w:styleId="GradeColoridanfase11" w:customStyle="1">
    <w:name w:val="Grade Colorida - Ênfase 11"/>
    <w:basedOn w:val="Normal"/>
    <w:next w:val="Normal"/>
    <w:qFormat/>
    <w:rsid w:val="002254a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2254a1"/>
    <w:pPr>
      <w:spacing w:before="280" w:after="280"/>
    </w:pPr>
    <w:rPr>
      <w:rFonts w:ascii="Times New Roman" w:hAnsi="Times New Roman" w:eastAsia="Times New Roman" w:cs="Times New Roman"/>
    </w:rPr>
  </w:style>
  <w:style w:type="paragraph" w:styleId="TCUAcitem90" w:customStyle="1">
    <w:name w:val="TCU - Ac - item 9 - §§_0"/>
    <w:basedOn w:val="Normal"/>
    <w:qFormat/>
    <w:rsid w:val="002254a1"/>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2254a1"/>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2254a1"/>
    <w:pPr>
      <w:spacing w:before="280" w:after="280"/>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2254a1"/>
    <w:pPr>
      <w:spacing w:before="280" w:after="280"/>
    </w:pPr>
    <w:rPr>
      <w:rFonts w:ascii="Times New Roman" w:hAnsi="Times New Roman" w:eastAsia="Times New Roman" w:cs="Times New Roman"/>
    </w:rPr>
  </w:style>
  <w:style w:type="paragraph" w:styleId="Textojustificado" w:customStyle="1">
    <w:name w:val="texto_justificado"/>
    <w:basedOn w:val="Normal"/>
    <w:qFormat/>
    <w:rsid w:val="002254a1"/>
    <w:pPr>
      <w:spacing w:before="280" w:after="280"/>
    </w:pPr>
    <w:rPr>
      <w:rFonts w:ascii="Times New Roman" w:hAnsi="Times New Roman" w:eastAsia="Times New Roman" w:cs="Times New Roman"/>
    </w:rPr>
  </w:style>
  <w:style w:type="paragraph" w:styleId="Nvel2Opcional" w:customStyle="1">
    <w:name w:val="Nível 2 Opcional"/>
    <w:basedOn w:val="Nivel2"/>
    <w:qFormat/>
    <w:rsid w:val="002254a1"/>
    <w:pPr>
      <w:tabs>
        <w:tab w:val="clear" w:pos="0"/>
      </w:tabs>
      <w:ind w:left="432" w:hanging="432"/>
    </w:pPr>
    <w:rPr>
      <w:rFonts w:eastAsia="Times New Roman"/>
      <w:i/>
      <w:color w:val="FF0000"/>
    </w:rPr>
  </w:style>
  <w:style w:type="paragraph" w:styleId="Nvel3Opcional" w:customStyle="1">
    <w:name w:val="Nível 3 Opcional"/>
    <w:basedOn w:val="Nivel3"/>
    <w:qFormat/>
    <w:rsid w:val="002254a1"/>
    <w:pPr>
      <w:tabs>
        <w:tab w:val="clear" w:pos="0"/>
      </w:tabs>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2254a1"/>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2254a1"/>
    <w:pPr>
      <w:spacing w:before="280" w:after="280"/>
    </w:pPr>
    <w:rPr>
      <w:rFonts w:ascii="Times New Roman" w:hAnsi="Times New Roman" w:eastAsia="Times New Roman" w:cs="Times New Roman"/>
    </w:rPr>
  </w:style>
  <w:style w:type="paragraph" w:styleId="Itemnivel2" w:customStyle="1">
    <w:name w:val="item_nivel2"/>
    <w:basedOn w:val="Normal"/>
    <w:qFormat/>
    <w:rsid w:val="002254a1"/>
    <w:pPr>
      <w:spacing w:before="280" w:after="280"/>
    </w:pPr>
    <w:rPr>
      <w:rFonts w:ascii="Times New Roman" w:hAnsi="Times New Roman" w:eastAsia="Times New Roman" w:cs="Times New Roman"/>
    </w:rPr>
  </w:style>
  <w:style w:type="paragraph" w:styleId="Itemnivel1" w:customStyle="1">
    <w:name w:val="item_nivel1"/>
    <w:basedOn w:val="Normal"/>
    <w:qFormat/>
    <w:rsid w:val="002254a1"/>
    <w:pPr>
      <w:spacing w:before="280" w:after="280"/>
    </w:pPr>
    <w:rPr>
      <w:rFonts w:ascii="Times New Roman" w:hAnsi="Times New Roman" w:eastAsia="Times New Roman" w:cs="Times New Roman"/>
    </w:rPr>
  </w:style>
  <w:style w:type="paragraph" w:styleId="Itemalinealetra" w:customStyle="1">
    <w:name w:val="item_alinea_letra"/>
    <w:basedOn w:val="Normal"/>
    <w:qFormat/>
    <w:rsid w:val="002254a1"/>
    <w:pPr>
      <w:spacing w:before="280" w:after="280"/>
    </w:pPr>
    <w:rPr>
      <w:rFonts w:ascii="Times New Roman" w:hAnsi="Times New Roman" w:eastAsia="Times New Roman" w:cs="Times New Roman"/>
    </w:rPr>
  </w:style>
  <w:style w:type="paragraph" w:styleId="Standard" w:customStyle="1">
    <w:name w:val="Standard"/>
    <w:qFormat/>
    <w:rsid w:val="002254a1"/>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2254a1"/>
    <w:pPr>
      <w:spacing w:lineRule="auto" w:line="276" w:before="0" w:after="140"/>
    </w:pPr>
    <w:rPr/>
  </w:style>
  <w:style w:type="paragraph" w:styleId="Ou" w:customStyle="1">
    <w:name w:val="ou"/>
    <w:basedOn w:val="ListParagraph"/>
    <w:qFormat/>
    <w:rsid w:val="002254a1"/>
    <w:pPr>
      <w:spacing w:lineRule="auto" w:line="259" w:before="60" w:after="60"/>
      <w:ind w:left="0" w:hanging="0"/>
      <w:contextualSpacing/>
      <w:jc w:val="center"/>
    </w:pPr>
    <w:rPr>
      <w:rFonts w:ascii="Arial" w:hAnsi="Arial" w:eastAsia="Cambria" w:cs="Arial"/>
      <w:b/>
      <w:bCs/>
      <w:i/>
      <w:iCs/>
      <w:color w:val="FF0000"/>
      <w:u w:val="single"/>
    </w:rPr>
  </w:style>
  <w:style w:type="paragraph" w:styleId="Douparagraph" w:customStyle="1">
    <w:name w:val="dou-paragraph"/>
    <w:basedOn w:val="Normal"/>
    <w:qFormat/>
    <w:rsid w:val="002254a1"/>
    <w:pPr>
      <w:spacing w:before="280" w:after="280"/>
    </w:pPr>
    <w:rPr>
      <w:rFonts w:ascii="Times New Roman" w:hAnsi="Times New Roman" w:eastAsia="Times New Roman" w:cs="Times New Roman"/>
    </w:rPr>
  </w:style>
  <w:style w:type="paragraph" w:styleId="Nvel2Red" w:customStyle="1">
    <w:name w:val="Nível 2 -Red"/>
    <w:basedOn w:val="Nivel2"/>
    <w:qFormat/>
    <w:rsid w:val="002254a1"/>
    <w:pPr/>
    <w:rPr>
      <w:i/>
      <w:iCs/>
      <w:color w:val="FF0000"/>
    </w:rPr>
  </w:style>
  <w:style w:type="paragraph" w:styleId="Nvel3R" w:customStyle="1">
    <w:name w:val="Nível 3-R"/>
    <w:basedOn w:val="Nivel3"/>
    <w:qFormat/>
    <w:rsid w:val="002254a1"/>
    <w:pPr/>
    <w:rPr>
      <w:i/>
      <w:iCs/>
      <w:color w:val="FF0000"/>
    </w:rPr>
  </w:style>
  <w:style w:type="paragraph" w:styleId="Nvel4R" w:customStyle="1">
    <w:name w:val="Nível 4-R"/>
    <w:basedOn w:val="Nivel4"/>
    <w:qFormat/>
    <w:rsid w:val="002254a1"/>
    <w:pPr/>
    <w:rPr>
      <w:i/>
      <w:iCs/>
      <w:color w:val="FF0000"/>
    </w:rPr>
  </w:style>
  <w:style w:type="paragraph" w:styleId="Nvel1SemNum" w:customStyle="1">
    <w:name w:val="Nível 1-Sem Num"/>
    <w:basedOn w:val="Nivel01"/>
    <w:qFormat/>
    <w:rsid w:val="002254a1"/>
    <w:pPr>
      <w:outlineLvl w:val="1"/>
    </w:pPr>
    <w:rPr>
      <w:color w:val="FF0000"/>
    </w:rPr>
  </w:style>
  <w:style w:type="paragraph" w:styleId="Citao2" w:customStyle="1">
    <w:name w:val="citação 2"/>
    <w:basedOn w:val="Quote"/>
    <w:qFormat/>
    <w:rsid w:val="002254a1"/>
    <w:pPr>
      <w:shd w:val="clear" w:fill="FFFFCC"/>
    </w:pPr>
    <w:rPr>
      <w:szCs w:val="20"/>
    </w:rPr>
  </w:style>
  <w:style w:type="paragraph" w:styleId="Prembulo" w:customStyle="1">
    <w:name w:val="Preâmbulo"/>
    <w:basedOn w:val="Normal"/>
    <w:qFormat/>
    <w:rsid w:val="002254a1"/>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qFormat/>
    <w:rsid w:val="002254a1"/>
    <w:pPr>
      <w:spacing w:lineRule="auto" w:line="259" w:before="240" w:after="0"/>
    </w:pPr>
    <w:rPr>
      <w:b w:val="false"/>
      <w:bCs w:val="false"/>
      <w:sz w:val="32"/>
      <w:szCs w:val="32"/>
    </w:rPr>
  </w:style>
  <w:style w:type="paragraph" w:styleId="Sumrio1" w:customStyle="1">
    <w:name w:val="TOC 1"/>
    <w:basedOn w:val="Normal"/>
    <w:next w:val="Normal"/>
    <w:autoRedefine/>
    <w:rsid w:val="002254a1"/>
    <w:pPr>
      <w:tabs>
        <w:tab w:val="clear" w:pos="708"/>
        <w:tab w:val="left" w:pos="426" w:leader="none"/>
        <w:tab w:val="right" w:pos="9628" w:leader="dot"/>
      </w:tabs>
      <w:spacing w:before="0" w:after="100"/>
    </w:pPr>
    <w:rPr>
      <w:rFonts w:ascii="Arial" w:hAnsi="Arial" w:eastAsia="Times New Roman"/>
      <w:sz w:val="20"/>
    </w:rPr>
  </w:style>
  <w:style w:type="paragraph" w:styleId="Alineaa" w:customStyle="1">
    <w:name w:val="Alinea a)"/>
    <w:basedOn w:val="Normal"/>
    <w:qFormat/>
    <w:rsid w:val="002254a1"/>
    <w:pPr>
      <w:tabs>
        <w:tab w:val="clear" w:pos="708"/>
        <w:tab w:val="left" w:pos="-3960" w:leader="none"/>
        <w:tab w:val="left" w:pos="1620" w:leader="none"/>
        <w:tab w:val="left" w:pos="1814" w:leader="none"/>
        <w:tab w:val="left" w:pos="2345" w:leader="none"/>
      </w:tabs>
      <w:spacing w:lineRule="auto" w:line="360" w:before="120" w:after="120"/>
      <w:ind w:firstLine="1260"/>
      <w:jc w:val="both"/>
    </w:pPr>
    <w:rPr>
      <w:rFonts w:ascii="Arial" w:hAnsi="Arial" w:eastAsia="Times New Roman" w:cs="Arial"/>
    </w:rPr>
  </w:style>
  <w:style w:type="paragraph" w:styleId="Nvel4" w:customStyle="1">
    <w:name w:val="Nível 4"/>
    <w:basedOn w:val="Normal"/>
    <w:qFormat/>
    <w:rsid w:val="002254a1"/>
    <w:pPr>
      <w:spacing w:lineRule="auto" w:line="276" w:before="120" w:after="120"/>
      <w:ind w:left="1728" w:hanging="648"/>
      <w:jc w:val="both"/>
    </w:pPr>
    <w:rPr>
      <w:rFonts w:ascii="Arial" w:hAnsi="Arial" w:eastAsia="Times New Roman" w:cs="Arial"/>
      <w:sz w:val="20"/>
      <w:szCs w:val="20"/>
    </w:rPr>
  </w:style>
  <w:style w:type="paragraph" w:styleId="Contedodoquadro" w:customStyle="1">
    <w:name w:val="Conteúdo do quadro"/>
    <w:basedOn w:val="Normal"/>
    <w:qFormat/>
    <w:rsid w:val="002254a1"/>
    <w:pPr/>
    <w:rPr/>
  </w:style>
  <w:style w:type="paragraph" w:styleId="Contedodatabela" w:customStyle="1">
    <w:name w:val="Conteúdo da tabela"/>
    <w:basedOn w:val="Normal"/>
    <w:qFormat/>
    <w:rsid w:val="002254a1"/>
    <w:pPr>
      <w:suppressLineNumbers/>
      <w:ind w:right="96" w:hanging="0"/>
    </w:pPr>
    <w:rPr>
      <w:rFonts w:ascii="Times New Roman" w:hAnsi="Times New Roman" w:cs="Times New Roman"/>
      <w:lang w:eastAsia="zh-CN"/>
    </w:rPr>
  </w:style>
  <w:style w:type="paragraph" w:styleId="Ttulodetabela" w:customStyle="1">
    <w:name w:val="Título de tabela"/>
    <w:basedOn w:val="Contedodatabela"/>
    <w:qFormat/>
    <w:rsid w:val="002254a1"/>
    <w:pPr>
      <w:jc w:val="center"/>
    </w:pPr>
    <w:rPr>
      <w:b/>
      <w:bCs/>
    </w:rPr>
  </w:style>
  <w:style w:type="paragraph" w:styleId="BodyText2">
    <w:name w:val="Body Text 2"/>
    <w:basedOn w:val="Normal"/>
    <w:qFormat/>
    <w:rsid w:val="002254a1"/>
    <w:pPr>
      <w:spacing w:lineRule="auto" w:line="480" w:before="0" w:after="120"/>
    </w:pPr>
    <w:rPr>
      <w:rFonts w:ascii="Arial" w:hAnsi="Arial" w:cs="Times New Roman"/>
      <w:szCs w:val="20"/>
    </w:rPr>
  </w:style>
  <w:style w:type="paragraph" w:styleId="Nvel3" w:customStyle="1">
    <w:name w:val="Nível 3"/>
    <w:basedOn w:val="Nvel3R"/>
    <w:qFormat/>
    <w:rsid w:val="002254a1"/>
    <w:pPr/>
    <w:rPr>
      <w:rFonts w:eastAsia="Times New Roman"/>
      <w:i w:val="false"/>
      <w:iCs w:val="false"/>
      <w:color w:val="auto"/>
    </w:rPr>
  </w:style>
  <w:style w:type="numbering" w:styleId="NoList" w:default="1">
    <w:name w:val="No List"/>
    <w:uiPriority w:val="99"/>
    <w:semiHidden/>
    <w:unhideWhenUsed/>
    <w:qFormat/>
  </w:style>
  <w:style w:type="numbering" w:styleId="Estilo1" w:customStyle="1">
    <w:name w:val="Estilo1"/>
    <w:qFormat/>
    <w:rsid w:val="002254a1"/>
  </w:style>
  <w:style w:type="numbering" w:styleId="Estilo2" w:customStyle="1">
    <w:name w:val="Estilo2"/>
    <w:qFormat/>
    <w:rsid w:val="002254a1"/>
  </w:style>
  <w:style w:type="numbering" w:styleId="Estilo3" w:customStyle="1">
    <w:name w:val="Estilo3"/>
    <w:qFormat/>
    <w:rsid w:val="002254a1"/>
  </w:style>
  <w:style w:type="numbering" w:styleId="Estilo4" w:customStyle="1">
    <w:name w:val="Estilo4"/>
    <w:qFormat/>
    <w:rsid w:val="002254a1"/>
  </w:style>
  <w:style w:type="numbering" w:styleId="Estilo5" w:customStyle="1">
    <w:name w:val="Estilo5"/>
    <w:qFormat/>
    <w:rsid w:val="002254a1"/>
  </w:style>
  <w:style w:type="numbering" w:styleId="Estilo6" w:customStyle="1">
    <w:name w:val="Estilo6"/>
    <w:qFormat/>
    <w:rsid w:val="002254a1"/>
  </w:style>
  <w:style w:type="numbering" w:styleId="Marcador" w:customStyle="1">
    <w:name w:val="Marcador •"/>
    <w:qFormat/>
    <w:rsid w:val="002254a1"/>
  </w:style>
  <w:style w:type="table" w:default="1" w:styleId="Tabelanormal">
    <w:name w:val="Normal Table"/>
    <w:uiPriority w:val="99"/>
    <w:semiHidden/>
    <w:unhideWhenUsed/>
    <w:qFormat/>
    <w:tblPr>
      <w:tblCellMar>
        <w:top w:w="0" w:type="dxa"/>
        <w:left w:w="108" w:type="dxa"/>
        <w:bottom w:w="0" w:type="dxa"/>
        <w:right w:w="108" w:type="dxa"/>
      </w:tblCellMar>
    </w:tblPr>
  </w:style>
</w:styles>
</file>

<file path=word/_rels/comments.xml.rels><?xml version="1.0" encoding="UTF-8"?>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s://www.gov.br/compras/pt-br/acesso-a-informacao/legislacao/instrucoes-normativas/instrucao-normativa-seges-me-no-116-de-21-de-dezembro-de-2021"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gov.br/compras/pt-br/acesso-a-informacao/legislacao/instrucoes-normativas/instrucao-normativa-seges-me-no-116-de-21-de-dezembro-de-2021" TargetMode="External"/><Relationship Id="rId6" Type="http://schemas.openxmlformats.org/officeDocument/2006/relationships/hyperlink" Target="https://www.planalto.gov.br/ccivil_03/_ato2019-2022/2022/decreto/d10977.htm" TargetMode="External"/><Relationship Id="rId7"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hyperlink" Target="http://www.planalto.gov.br/CCIVIL_03/_Ato2019-2022/2019/Decreto/D10024.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leis/lcp/lcp116.htm" TargetMode="External"/><Relationship Id="rId11" Type="http://schemas.openxmlformats.org/officeDocument/2006/relationships/hyperlink" Target="https://www.planalto.gov.br/ccivil_03/_ato2015-2018/2018/lei/l13709.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mailto:pregoeiros.sermali@sjp.pr.gov.br"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_ato2015-2018/2015/decreto/d8539.htm" TargetMode="External"/><Relationship Id="rId13"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empresas-e-negocios/pt-br/empreendedor" TargetMode="External"/><Relationship Id="rId16" Type="http://schemas.openxmlformats.org/officeDocument/2006/relationships/hyperlink" Target="http://www.tst.jus.br/certidao" TargetMode="External"/><Relationship Id="rId17"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servicos.sjp.pr.gov.br/servicos/compras/controller/edital_lic/"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yperlink" Target="http://www.sjp.pr.gov.br/secretarias/secretaria-administracao/portal-do-fornecedor/" TargetMode="External"/><Relationship Id="rId29"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32" Type="http://schemas.openxmlformats.org/officeDocument/2006/relationships/hyperlink" Target="http://www.sjp.pr.gov.br/secretarias/secretaria-administracao/portal-do-fornecedor/" TargetMode="External"/><Relationship Id="rId33"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078compilado.htm" TargetMode="External"/><Relationship Id="rId35" Type="http://schemas.openxmlformats.org/officeDocument/2006/relationships/hyperlink" Target="https://www.planalto.gov.br/ccivil_03/leis/l8078compilado.htm" TargetMode="External"/><Relationship Id="rId36" Type="http://schemas.openxmlformats.org/officeDocument/2006/relationships/hyperlink" Target="https://www.planalto.gov.br/ccivil_03/_ato2015-2018/2018/lei/l13709.htm" TargetMode="External"/><Relationship Id="rId37" Type="http://schemas.openxmlformats.org/officeDocument/2006/relationships/hyperlink" Target="https://www.planalto.gov.br/ccivil_03/_ato2015-2018/2018/lei/l13709.htm"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078compilado.htm" TargetMode="External"/><Relationship Id="rId43" Type="http://schemas.openxmlformats.org/officeDocument/2006/relationships/header" Target="header1.xml"/><Relationship Id="rId44" Type="http://schemas.openxmlformats.org/officeDocument/2006/relationships/footer" Target="footer1.xml"/><Relationship Id="rId45" Type="http://schemas.openxmlformats.org/officeDocument/2006/relationships/comments" Target="comments.xml"/><Relationship Id="rId46" Type="http://schemas.openxmlformats.org/officeDocument/2006/relationships/numbering" Target="numbering.xml"/><Relationship Id="rId47" Type="http://schemas.openxmlformats.org/officeDocument/2006/relationships/fontTable" Target="fontTable.xml"/><Relationship Id="rId48" Type="http://schemas.openxmlformats.org/officeDocument/2006/relationships/settings" Target="settings.xml"/><Relationship Id="rId49"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890</TotalTime>
  <Application>LibreOffice/7.1.5.2$Windows_X86_64 LibreOffice_project/85f04e9f809797b8199d13c421bd8a2b025d52b5</Application>
  <AppVersion>15.0000</AppVersion>
  <Pages>49</Pages>
  <Words>18800</Words>
  <Characters>106334</Characters>
  <CharactersWithSpaces>123833</CharactersWithSpaces>
  <Paragraphs>1022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2024-04-17T18:09:00Z</dcterms:created>
  <dc:creator/>
  <dc:description/>
  <dc:language>pt-BR</dc:language>
  <cp:lastModifiedBy/>
  <dcterms:modified xsi:type="dcterms:W3CDTF">2024-09-05T11:15:35Z</dcterms:modified>
  <cp:revision>128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